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                                                                                                                                                                                                                                                                                                                                                                                                                                                                                                                                                                                                                                                                                                                                                                                                                                                                                                                                                                                                                                                                                                                                                                                                                                                                                                                                                                                                                                                                                                                                                                                                                                                                                                                                                                                                                                                                                                                                                                                                                                                                                                                                                                                                                                                                                                                                                                                                                                                                                                                                                                                                                                                                                                                                                                                                                                                                                                                                                                                                                                                                                                                                                                                                                                                                                                                                                                                                                                                                                                                                                                                                                                                                                                                                                                                                                                                                                                                                                                                                                                                                                                                                                                                                                </w:t>
      </w:r>
      <w:r>
        <w:rPr>
          <w:b/>
          <w:color w:val="000000" w:themeColor="text1"/>
          <w:sz w:val="24"/>
          <w14:textFill>
            <w14:solidFill>
              <w14:schemeClr w14:val="tx1"/>
            </w14:solidFill>
          </w14:textFill>
        </w:rPr>
        <w:t xml:space="preserve">                                                                                                                                                                                                                                                                                                                                                                                                                                                                                                                                                                                                                                                                                                                                                                                                                                    </w:t>
      </w:r>
    </w:p>
    <w:p>
      <w:pPr>
        <w:jc w:val="center"/>
        <w:outlineLvl w:val="0"/>
        <w:rPr>
          <w:b/>
          <w:color w:val="000000" w:themeColor="text1"/>
          <w:sz w:val="72"/>
          <w14:textFill>
            <w14:solidFill>
              <w14:schemeClr w14:val="tx1"/>
            </w14:solidFill>
          </w14:textFill>
        </w:rPr>
      </w:pPr>
      <w:bookmarkStart w:id="0" w:name="_Toc4814"/>
      <w:r>
        <w:rPr>
          <w:rFonts w:hint="eastAsia"/>
          <w:b/>
          <w:color w:val="000000" w:themeColor="text1"/>
          <w:sz w:val="72"/>
          <w14:textFill>
            <w14:solidFill>
              <w14:schemeClr w14:val="tx1"/>
            </w14:solidFill>
          </w14:textFill>
        </w:rPr>
        <w:t>单一来源采购文件</w:t>
      </w:r>
      <w:bookmarkEnd w:id="0"/>
    </w:p>
    <w:p>
      <w:pPr>
        <w:rPr>
          <w:rFonts w:eastAsia="黑体"/>
          <w:color w:val="000000" w:themeColor="text1"/>
          <w:sz w:val="32"/>
          <w14:textFill>
            <w14:solidFill>
              <w14:schemeClr w14:val="tx1"/>
            </w14:solidFill>
          </w14:textFill>
        </w:rPr>
      </w:pPr>
    </w:p>
    <w:p>
      <w:pPr>
        <w:ind w:firstLine="1744" w:firstLineChars="545"/>
        <w:rPr>
          <w:color w:val="000000" w:themeColor="text1"/>
          <w:sz w:val="32"/>
          <w14:textFill>
            <w14:solidFill>
              <w14:schemeClr w14:val="tx1"/>
            </w14:solidFill>
          </w14:textFill>
        </w:rPr>
      </w:pPr>
    </w:p>
    <w:p>
      <w:pPr>
        <w:spacing w:line="300" w:lineRule="auto"/>
        <w:ind w:firstLine="2249" w:firstLineChars="700"/>
        <w:rPr>
          <w:b/>
          <w:color w:val="000000" w:themeColor="text1"/>
          <w:spacing w:val="20"/>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项目名称：辅导猫云服务</w:t>
      </w:r>
    </w:p>
    <w:p>
      <w:pPr>
        <w:ind w:firstLine="2249" w:firstLineChars="700"/>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项目编号：</w:t>
      </w:r>
      <w:r>
        <w:rPr>
          <w:b/>
          <w:color w:val="000000" w:themeColor="text1"/>
          <w:sz w:val="32"/>
          <w:szCs w:val="32"/>
          <w14:textFill>
            <w14:solidFill>
              <w14:schemeClr w14:val="tx1"/>
            </w14:solidFill>
          </w14:textFill>
        </w:rPr>
        <w:t>TDFW(DY)2024-030</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pStyle w:val="8"/>
      </w:pPr>
    </w:p>
    <w:p/>
    <w:p>
      <w:pPr>
        <w:pStyle w:val="8"/>
      </w:pPr>
    </w:p>
    <w:p/>
    <w:p>
      <w:pPr>
        <w:pStyle w:val="8"/>
      </w:pPr>
    </w:p>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outlineLvl w:val="0"/>
        <w:rPr>
          <w:b/>
          <w:color w:val="000000" w:themeColor="text1"/>
          <w:sz w:val="32"/>
          <w:szCs w:val="32"/>
          <w14:textFill>
            <w14:solidFill>
              <w14:schemeClr w14:val="tx1"/>
            </w14:solidFill>
          </w14:textFill>
        </w:rPr>
      </w:pPr>
      <w:bookmarkStart w:id="1" w:name="_Toc13051"/>
      <w:r>
        <w:rPr>
          <w:rFonts w:hint="eastAsia"/>
          <w:b/>
          <w:color w:val="000000" w:themeColor="text1"/>
          <w:sz w:val="32"/>
          <w:szCs w:val="32"/>
          <w14:textFill>
            <w14:solidFill>
              <w14:schemeClr w14:val="tx1"/>
            </w14:solidFill>
          </w14:textFill>
        </w:rPr>
        <w:t>南通大学招投标管理办公室</w:t>
      </w:r>
      <w:bookmarkEnd w:id="1"/>
    </w:p>
    <w:p>
      <w:pPr>
        <w:pStyle w:val="11"/>
        <w:ind w:left="0" w:leftChars="0"/>
        <w:jc w:val="center"/>
        <w:rPr>
          <w:rFonts w:eastAsia="宋体"/>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w:t>
      </w:r>
      <w:r>
        <w:rPr>
          <w:rFonts w:hint="eastAsia" w:eastAsia="宋体"/>
          <w:b/>
          <w:color w:val="000000" w:themeColor="text1"/>
          <w:sz w:val="32"/>
          <w:szCs w:val="32"/>
          <w14:textFill>
            <w14:solidFill>
              <w14:schemeClr w14:val="tx1"/>
            </w14:solidFill>
          </w14:textFill>
        </w:rPr>
        <w:t>24</w:t>
      </w:r>
      <w:r>
        <w:rPr>
          <w:rFonts w:eastAsia="宋体"/>
          <w:b/>
          <w:color w:val="000000" w:themeColor="text1"/>
          <w:sz w:val="32"/>
          <w:szCs w:val="32"/>
          <w14:textFill>
            <w14:solidFill>
              <w14:schemeClr w14:val="tx1"/>
            </w14:solidFill>
          </w14:textFill>
        </w:rPr>
        <w:t>年</w:t>
      </w:r>
      <w:r>
        <w:rPr>
          <w:rFonts w:hint="eastAsia" w:eastAsia="宋体"/>
          <w:b/>
          <w:color w:val="000000" w:themeColor="text1"/>
          <w:sz w:val="32"/>
          <w:szCs w:val="32"/>
          <w14:textFill>
            <w14:solidFill>
              <w14:schemeClr w14:val="tx1"/>
            </w14:solidFill>
          </w14:textFill>
        </w:rPr>
        <w:t>3</w:t>
      </w:r>
      <w:r>
        <w:rPr>
          <w:rFonts w:eastAsia="宋体"/>
          <w:b/>
          <w:color w:val="000000" w:themeColor="text1"/>
          <w:sz w:val="32"/>
          <w:szCs w:val="32"/>
          <w14:textFill>
            <w14:solidFill>
              <w14:schemeClr w14:val="tx1"/>
            </w14:solidFill>
          </w14:textFill>
        </w:rPr>
        <w:t>月</w:t>
      </w:r>
    </w:p>
    <w:p>
      <w:pPr>
        <w:spacing w:after="240" w:afterLines="100"/>
        <w:ind w:firstLine="3675" w:firstLineChars="1750"/>
        <w:rPr>
          <w:rStyle w:val="26"/>
          <w:rFonts w:eastAsia="黑体"/>
          <w:bCs/>
          <w:color w:val="000000" w:themeColor="text1"/>
          <w:sz w:val="48"/>
          <w:u w:val="none"/>
          <w14:textFill>
            <w14:solidFill>
              <w14:schemeClr w14:val="tx1"/>
            </w14:solidFill>
          </w14:textFill>
        </w:rPr>
      </w:pPr>
      <w:r>
        <w:rPr>
          <w:color w:val="000000" w:themeColor="text1"/>
          <w14:textFill>
            <w14:solidFill>
              <w14:schemeClr w14:val="tx1"/>
            </w14:solidFill>
          </w14:textFill>
        </w:rPr>
        <w:br w:type="page"/>
      </w:r>
      <w:r>
        <w:rPr>
          <w:rStyle w:val="26"/>
          <w:rFonts w:hint="eastAsia" w:eastAsia="黑体"/>
          <w:bCs/>
          <w:color w:val="000000" w:themeColor="text1"/>
          <w:sz w:val="48"/>
          <w:u w:val="none"/>
          <w14:textFill>
            <w14:solidFill>
              <w14:schemeClr w14:val="tx1"/>
            </w14:solidFill>
          </w14:textFill>
        </w:rPr>
        <w:t>目  录</w:t>
      </w:r>
    </w:p>
    <w:sdt>
      <w:sdtPr>
        <w:rPr>
          <w:rFonts w:ascii="宋体" w:hAnsi="宋体"/>
        </w:rPr>
        <w:id w:val="147464106"/>
        <w15:color w:val="DBDBDB"/>
        <w:docPartObj>
          <w:docPartGallery w:val="Table of Contents"/>
          <w:docPartUnique/>
        </w:docPartObj>
      </w:sdtPr>
      <w:sdtEndPr>
        <w:rPr>
          <w:rFonts w:ascii="宋体" w:hAnsi="宋体"/>
          <w:b/>
        </w:rPr>
      </w:sdtEndPr>
      <w:sdtContent>
        <w:p/>
        <w:p>
          <w:pPr>
            <w:pStyle w:val="57"/>
            <w:tabs>
              <w:tab w:val="right" w:leader="dot" w:pos="9752"/>
            </w:tabs>
            <w:spacing w:line="360" w:lineRule="auto"/>
            <w:rPr>
              <w:b/>
            </w:rPr>
          </w:pPr>
          <w:r>
            <w:fldChar w:fldCharType="begin"/>
          </w:r>
          <w:r>
            <w:instrText xml:space="preserve">TOC \o "1-2" \h \u </w:instrText>
          </w:r>
          <w:r>
            <w:fldChar w:fldCharType="separate"/>
          </w:r>
          <w:r>
            <w:fldChar w:fldCharType="begin"/>
          </w:r>
          <w:r>
            <w:instrText xml:space="preserve"> HYPERLINK \l "_Toc24759" </w:instrText>
          </w:r>
          <w:r>
            <w:fldChar w:fldCharType="separate"/>
          </w:r>
          <w:r>
            <w:rPr>
              <w:rFonts w:hint="eastAsia"/>
              <w:b/>
            </w:rPr>
            <w:t>第一部分</w:t>
          </w:r>
          <w:r>
            <w:rPr>
              <w:b/>
            </w:rPr>
            <w:t xml:space="preserve"> </w:t>
          </w:r>
          <w:r>
            <w:rPr>
              <w:rFonts w:hint="eastAsia"/>
              <w:b/>
            </w:rPr>
            <w:t>单一来源采购公告</w:t>
          </w:r>
          <w:r>
            <w:rPr>
              <w:b/>
            </w:rPr>
            <w:tab/>
          </w:r>
          <w:r>
            <w:rPr>
              <w:b/>
            </w:rPr>
            <w:fldChar w:fldCharType="begin"/>
          </w:r>
          <w:r>
            <w:rPr>
              <w:b/>
            </w:rPr>
            <w:instrText xml:space="preserve"> PAGEREF _Toc24759 \h </w:instrText>
          </w:r>
          <w:r>
            <w:rPr>
              <w:b/>
            </w:rPr>
            <w:fldChar w:fldCharType="separate"/>
          </w:r>
          <w:r>
            <w:rPr>
              <w:b/>
            </w:rPr>
            <w:t>2</w:t>
          </w:r>
          <w:r>
            <w:rPr>
              <w:b/>
            </w:rPr>
            <w:fldChar w:fldCharType="end"/>
          </w:r>
          <w:r>
            <w:rPr>
              <w:b/>
            </w:rPr>
            <w:fldChar w:fldCharType="end"/>
          </w:r>
        </w:p>
        <w:p>
          <w:pPr>
            <w:pStyle w:val="57"/>
            <w:tabs>
              <w:tab w:val="right" w:leader="dot" w:pos="9752"/>
            </w:tabs>
            <w:spacing w:line="360" w:lineRule="auto"/>
            <w:rPr>
              <w:b/>
            </w:rPr>
          </w:pPr>
          <w:r>
            <w:fldChar w:fldCharType="begin"/>
          </w:r>
          <w:r>
            <w:instrText xml:space="preserve"> HYPERLINK \l "_Toc15992" </w:instrText>
          </w:r>
          <w:r>
            <w:fldChar w:fldCharType="separate"/>
          </w:r>
          <w:r>
            <w:rPr>
              <w:rFonts w:hint="eastAsia"/>
              <w:b/>
            </w:rPr>
            <w:t>第二部分</w:t>
          </w:r>
          <w:r>
            <w:rPr>
              <w:b/>
            </w:rPr>
            <w:t xml:space="preserve"> </w:t>
          </w:r>
          <w:r>
            <w:rPr>
              <w:rFonts w:hint="eastAsia"/>
              <w:b/>
            </w:rPr>
            <w:t>投标人须知</w:t>
          </w:r>
          <w:r>
            <w:rPr>
              <w:b/>
            </w:rPr>
            <w:tab/>
          </w:r>
          <w:r>
            <w:rPr>
              <w:rFonts w:hint="eastAsia"/>
              <w:b/>
            </w:rPr>
            <w:t>5</w:t>
          </w:r>
          <w:r>
            <w:rPr>
              <w:rFonts w:hint="eastAsia"/>
              <w:b/>
            </w:rPr>
            <w:fldChar w:fldCharType="end"/>
          </w:r>
        </w:p>
        <w:p>
          <w:pPr>
            <w:pStyle w:val="58"/>
            <w:tabs>
              <w:tab w:val="right" w:leader="dot" w:pos="9752"/>
            </w:tabs>
            <w:spacing w:line="360" w:lineRule="auto"/>
            <w:ind w:left="420"/>
          </w:pPr>
          <w:r>
            <w:fldChar w:fldCharType="begin"/>
          </w:r>
          <w:r>
            <w:instrText xml:space="preserve"> HYPERLINK \l "_Toc3054" </w:instrText>
          </w:r>
          <w:r>
            <w:fldChar w:fldCharType="separate"/>
          </w:r>
          <w:r>
            <w:rPr>
              <w:rFonts w:hint="eastAsia"/>
            </w:rPr>
            <w:t>一、单一来源采购文件</w:t>
          </w:r>
          <w:r>
            <w:tab/>
          </w:r>
          <w:r>
            <w:rPr>
              <w:rFonts w:hint="eastAsia"/>
            </w:rPr>
            <w:t>5</w:t>
          </w:r>
          <w:r>
            <w:rPr>
              <w:rFonts w:hint="eastAsia"/>
            </w:rPr>
            <w:fldChar w:fldCharType="end"/>
          </w:r>
        </w:p>
        <w:p>
          <w:pPr>
            <w:pStyle w:val="58"/>
            <w:tabs>
              <w:tab w:val="right" w:leader="dot" w:pos="9752"/>
            </w:tabs>
            <w:spacing w:line="360" w:lineRule="auto"/>
            <w:ind w:left="420"/>
          </w:pPr>
          <w:r>
            <w:fldChar w:fldCharType="begin"/>
          </w:r>
          <w:r>
            <w:instrText xml:space="preserve"> HYPERLINK \l "_Toc20616" </w:instrText>
          </w:r>
          <w:r>
            <w:fldChar w:fldCharType="separate"/>
          </w:r>
          <w:r>
            <w:rPr>
              <w:rFonts w:hint="eastAsia"/>
            </w:rPr>
            <w:t>二、投标文件</w:t>
          </w:r>
          <w:r>
            <w:tab/>
          </w:r>
          <w:r>
            <w:rPr>
              <w:rFonts w:hint="eastAsia"/>
            </w:rPr>
            <w:t>6</w:t>
          </w:r>
          <w:r>
            <w:rPr>
              <w:rFonts w:hint="eastAsia"/>
            </w:rPr>
            <w:fldChar w:fldCharType="end"/>
          </w:r>
        </w:p>
        <w:p>
          <w:pPr>
            <w:pStyle w:val="58"/>
            <w:tabs>
              <w:tab w:val="right" w:leader="dot" w:pos="9752"/>
            </w:tabs>
            <w:spacing w:line="360" w:lineRule="auto"/>
            <w:ind w:left="420"/>
          </w:pPr>
          <w:r>
            <w:fldChar w:fldCharType="begin"/>
          </w:r>
          <w:r>
            <w:instrText xml:space="preserve"> HYPERLINK \l "_Toc30907" </w:instrText>
          </w:r>
          <w:r>
            <w:fldChar w:fldCharType="separate"/>
          </w:r>
          <w:r>
            <w:rPr>
              <w:rFonts w:hint="eastAsia"/>
            </w:rPr>
            <w:t>三、投标细则</w:t>
          </w:r>
          <w:r>
            <w:tab/>
          </w:r>
          <w:r>
            <w:rPr>
              <w:rFonts w:hint="eastAsia"/>
            </w:rPr>
            <w:t>7</w:t>
          </w:r>
          <w:r>
            <w:rPr>
              <w:rFonts w:hint="eastAsia"/>
            </w:rPr>
            <w:fldChar w:fldCharType="end"/>
          </w:r>
        </w:p>
        <w:p>
          <w:pPr>
            <w:pStyle w:val="58"/>
            <w:tabs>
              <w:tab w:val="right" w:leader="dot" w:pos="9752"/>
            </w:tabs>
            <w:spacing w:line="360" w:lineRule="auto"/>
            <w:ind w:left="420"/>
          </w:pPr>
          <w:r>
            <w:fldChar w:fldCharType="begin"/>
          </w:r>
          <w:r>
            <w:instrText xml:space="preserve"> HYPERLINK \l "_Toc26446" </w:instrText>
          </w:r>
          <w:r>
            <w:fldChar w:fldCharType="separate"/>
          </w:r>
          <w:r>
            <w:rPr>
              <w:rFonts w:hint="eastAsia"/>
            </w:rPr>
            <w:t>四、谈判</w:t>
          </w:r>
          <w:r>
            <w:tab/>
          </w:r>
          <w:r>
            <w:rPr>
              <w:rFonts w:hint="eastAsia"/>
            </w:rPr>
            <w:t>7</w:t>
          </w:r>
          <w:r>
            <w:rPr>
              <w:rFonts w:hint="eastAsia"/>
            </w:rPr>
            <w:fldChar w:fldCharType="end"/>
          </w:r>
        </w:p>
        <w:p>
          <w:pPr>
            <w:pStyle w:val="58"/>
            <w:tabs>
              <w:tab w:val="right" w:leader="dot" w:pos="9752"/>
            </w:tabs>
            <w:spacing w:line="360" w:lineRule="auto"/>
            <w:ind w:left="420"/>
          </w:pPr>
          <w:r>
            <w:fldChar w:fldCharType="begin"/>
          </w:r>
          <w:r>
            <w:instrText xml:space="preserve"> HYPERLINK \l "_Toc19067" </w:instrText>
          </w:r>
          <w:r>
            <w:fldChar w:fldCharType="separate"/>
          </w:r>
          <w:r>
            <w:rPr>
              <w:rFonts w:hint="eastAsia"/>
            </w:rPr>
            <w:t>五、合同的签订</w:t>
          </w:r>
          <w:r>
            <w:tab/>
          </w:r>
          <w:r>
            <w:rPr>
              <w:rFonts w:hint="eastAsia"/>
            </w:rPr>
            <w:t>8</w:t>
          </w:r>
          <w:r>
            <w:rPr>
              <w:rFonts w:hint="eastAsia"/>
            </w:rPr>
            <w:fldChar w:fldCharType="end"/>
          </w:r>
        </w:p>
        <w:p>
          <w:pPr>
            <w:pStyle w:val="58"/>
            <w:tabs>
              <w:tab w:val="right" w:leader="dot" w:pos="9752"/>
            </w:tabs>
            <w:spacing w:line="360" w:lineRule="auto"/>
            <w:ind w:left="420"/>
          </w:pPr>
          <w:r>
            <w:fldChar w:fldCharType="begin"/>
          </w:r>
          <w:r>
            <w:instrText xml:space="preserve"> HYPERLINK \l "_Toc9974" </w:instrText>
          </w:r>
          <w:r>
            <w:fldChar w:fldCharType="separate"/>
          </w:r>
          <w:r>
            <w:rPr>
              <w:rFonts w:hint="eastAsia"/>
            </w:rPr>
            <w:t>六、其他</w:t>
          </w:r>
          <w:r>
            <w:tab/>
          </w:r>
          <w:r>
            <w:rPr>
              <w:rFonts w:hint="eastAsia"/>
            </w:rPr>
            <w:t>8</w:t>
          </w:r>
          <w:r>
            <w:rPr>
              <w:rFonts w:hint="eastAsia"/>
            </w:rPr>
            <w:fldChar w:fldCharType="end"/>
          </w:r>
        </w:p>
        <w:p>
          <w:pPr>
            <w:pStyle w:val="57"/>
            <w:tabs>
              <w:tab w:val="right" w:leader="dot" w:pos="9752"/>
            </w:tabs>
            <w:spacing w:line="360" w:lineRule="auto"/>
          </w:pPr>
          <w:r>
            <w:fldChar w:fldCharType="begin"/>
          </w:r>
          <w:r>
            <w:instrText xml:space="preserve"> HYPERLINK \l "_Toc1905" </w:instrText>
          </w:r>
          <w:r>
            <w:fldChar w:fldCharType="separate"/>
          </w:r>
          <w:r>
            <w:rPr>
              <w:rFonts w:hint="eastAsia"/>
              <w:b/>
              <w:spacing w:val="4"/>
            </w:rPr>
            <w:t>第三部分</w:t>
          </w:r>
          <w:r>
            <w:rPr>
              <w:b/>
              <w:spacing w:val="4"/>
            </w:rPr>
            <w:t xml:space="preserve"> </w:t>
          </w:r>
          <w:r>
            <w:rPr>
              <w:rFonts w:hint="eastAsia"/>
              <w:b/>
            </w:rPr>
            <w:t>采购项目要求及相关说明</w:t>
          </w:r>
          <w:r>
            <w:rPr>
              <w:b/>
            </w:rPr>
            <w:tab/>
          </w:r>
          <w:r>
            <w:rPr>
              <w:rFonts w:hint="eastAsia"/>
              <w:b/>
            </w:rPr>
            <w:t>9</w:t>
          </w:r>
          <w:r>
            <w:rPr>
              <w:rFonts w:hint="eastAsia"/>
              <w:b/>
            </w:rPr>
            <w:fldChar w:fldCharType="end"/>
          </w:r>
        </w:p>
        <w:p>
          <w:pPr>
            <w:pStyle w:val="57"/>
            <w:tabs>
              <w:tab w:val="right" w:leader="dot" w:pos="9752"/>
            </w:tabs>
            <w:spacing w:line="360" w:lineRule="auto"/>
          </w:pPr>
          <w:r>
            <w:fldChar w:fldCharType="begin"/>
          </w:r>
          <w:r>
            <w:instrText xml:space="preserve"> HYPERLINK \l "_Toc12046" </w:instrText>
          </w:r>
          <w:r>
            <w:fldChar w:fldCharType="separate"/>
          </w:r>
          <w:r>
            <w:rPr>
              <w:rFonts w:hint="eastAsia"/>
              <w:b/>
            </w:rPr>
            <w:t>第四部分</w:t>
          </w:r>
          <w:r>
            <w:rPr>
              <w:b/>
            </w:rPr>
            <w:t xml:space="preserve"> </w:t>
          </w:r>
          <w:r>
            <w:rPr>
              <w:rFonts w:hint="eastAsia"/>
              <w:b/>
            </w:rPr>
            <w:t>商务条款</w:t>
          </w:r>
          <w:r>
            <w:rPr>
              <w:b/>
            </w:rPr>
            <w:tab/>
          </w:r>
          <w:r>
            <w:rPr>
              <w:rFonts w:hint="eastAsia"/>
              <w:b/>
            </w:rPr>
            <w:t>1</w:t>
          </w:r>
          <w:r>
            <w:rPr>
              <w:rFonts w:hint="eastAsia"/>
              <w:b/>
            </w:rPr>
            <w:fldChar w:fldCharType="end"/>
          </w:r>
          <w:r>
            <w:rPr>
              <w:rFonts w:hint="eastAsia"/>
              <w:b/>
            </w:rPr>
            <w:t>0</w:t>
          </w:r>
        </w:p>
        <w:p>
          <w:pPr>
            <w:pStyle w:val="57"/>
            <w:tabs>
              <w:tab w:val="right" w:leader="dot" w:pos="9752"/>
            </w:tabs>
            <w:spacing w:line="360" w:lineRule="auto"/>
          </w:pPr>
          <w:r>
            <w:fldChar w:fldCharType="begin"/>
          </w:r>
          <w:r>
            <w:instrText xml:space="preserve"> HYPERLINK \l "_Toc3448" </w:instrText>
          </w:r>
          <w:r>
            <w:fldChar w:fldCharType="separate"/>
          </w:r>
          <w:r>
            <w:rPr>
              <w:b/>
            </w:rPr>
            <w:t>第五部分 附  件</w:t>
          </w:r>
          <w:r>
            <w:rPr>
              <w:b/>
            </w:rPr>
            <w:tab/>
          </w:r>
          <w:r>
            <w:rPr>
              <w:rFonts w:hint="eastAsia"/>
              <w:b/>
            </w:rPr>
            <w:t>1</w:t>
          </w:r>
          <w:r>
            <w:rPr>
              <w:rFonts w:hint="eastAsia"/>
              <w:b/>
            </w:rPr>
            <w:fldChar w:fldCharType="end"/>
          </w:r>
          <w:r>
            <w:rPr>
              <w:rFonts w:hint="eastAsia"/>
              <w:b/>
            </w:rPr>
            <w:t>1</w:t>
          </w:r>
        </w:p>
        <w:p>
          <w:pPr>
            <w:pStyle w:val="58"/>
            <w:tabs>
              <w:tab w:val="right" w:leader="dot" w:pos="9752"/>
            </w:tabs>
            <w:spacing w:line="360" w:lineRule="auto"/>
            <w:ind w:left="420"/>
          </w:pPr>
          <w:r>
            <w:fldChar w:fldCharType="begin"/>
          </w:r>
          <w:r>
            <w:instrText xml:space="preserve"> HYPERLINK \l "_Toc4834" </w:instrText>
          </w:r>
          <w:r>
            <w:fldChar w:fldCharType="separate"/>
          </w:r>
          <w:r>
            <w:rPr>
              <w:rFonts w:hint="eastAsia"/>
              <w:szCs w:val="24"/>
            </w:rPr>
            <w:t>附件</w:t>
          </w:r>
          <w:r>
            <w:rPr>
              <w:szCs w:val="24"/>
            </w:rPr>
            <w:t>1</w:t>
          </w:r>
          <w:r>
            <w:rPr>
              <w:rFonts w:hint="eastAsia"/>
              <w:szCs w:val="24"/>
            </w:rPr>
            <w:t>：投标承诺函</w:t>
          </w:r>
          <w:r>
            <w:tab/>
          </w:r>
          <w:r>
            <w:rPr>
              <w:rFonts w:hint="eastAsia"/>
            </w:rPr>
            <w:t>1</w:t>
          </w:r>
          <w:r>
            <w:rPr>
              <w:rFonts w:hint="eastAsia"/>
            </w:rPr>
            <w:fldChar w:fldCharType="end"/>
          </w:r>
          <w:r>
            <w:rPr>
              <w:rFonts w:hint="eastAsia"/>
            </w:rPr>
            <w:t>2</w:t>
          </w:r>
        </w:p>
        <w:p>
          <w:pPr>
            <w:pStyle w:val="58"/>
            <w:tabs>
              <w:tab w:val="right" w:leader="dot" w:pos="9752"/>
            </w:tabs>
            <w:spacing w:line="360" w:lineRule="auto"/>
            <w:ind w:left="420"/>
          </w:pPr>
          <w:r>
            <w:fldChar w:fldCharType="begin"/>
          </w:r>
          <w:r>
            <w:instrText xml:space="preserve"> HYPERLINK \l "_Toc905" </w:instrText>
          </w:r>
          <w:r>
            <w:fldChar w:fldCharType="separate"/>
          </w:r>
          <w:r>
            <w:rPr>
              <w:szCs w:val="24"/>
            </w:rPr>
            <w:t>附件2</w:t>
          </w:r>
          <w:r>
            <w:rPr>
              <w:rFonts w:hint="eastAsia"/>
              <w:szCs w:val="24"/>
            </w:rPr>
            <w:t>：投标报价总表</w:t>
          </w:r>
          <w:r>
            <w:tab/>
          </w:r>
          <w:r>
            <w:rPr>
              <w:rFonts w:hint="eastAsia"/>
            </w:rPr>
            <w:t>1</w:t>
          </w:r>
          <w:r>
            <w:rPr>
              <w:rFonts w:hint="eastAsia"/>
            </w:rPr>
            <w:fldChar w:fldCharType="end"/>
          </w:r>
          <w:r>
            <w:rPr>
              <w:rFonts w:hint="eastAsia"/>
            </w:rPr>
            <w:t>3</w:t>
          </w:r>
        </w:p>
        <w:p>
          <w:pPr>
            <w:pStyle w:val="58"/>
            <w:tabs>
              <w:tab w:val="right" w:leader="dot" w:pos="9752"/>
            </w:tabs>
            <w:spacing w:line="360" w:lineRule="auto"/>
            <w:ind w:left="420"/>
          </w:pPr>
          <w:r>
            <w:fldChar w:fldCharType="begin"/>
          </w:r>
          <w:r>
            <w:instrText xml:space="preserve"> HYPERLINK \l "_Toc30961" </w:instrText>
          </w:r>
          <w:r>
            <w:fldChar w:fldCharType="separate"/>
          </w:r>
          <w:r>
            <w:rPr>
              <w:szCs w:val="24"/>
            </w:rPr>
            <w:t>附件</w:t>
          </w:r>
          <w:r>
            <w:rPr>
              <w:rFonts w:hint="eastAsia"/>
              <w:szCs w:val="24"/>
            </w:rPr>
            <w:t>3：</w:t>
          </w:r>
          <w:r>
            <w:rPr>
              <w:szCs w:val="24"/>
            </w:rPr>
            <w:t>法定代表人资格证明</w:t>
          </w:r>
          <w:r>
            <w:tab/>
          </w:r>
          <w:r>
            <w:rPr>
              <w:rFonts w:hint="eastAsia"/>
            </w:rPr>
            <w:t>1</w:t>
          </w:r>
          <w:r>
            <w:rPr>
              <w:rFonts w:hint="eastAsia"/>
            </w:rPr>
            <w:fldChar w:fldCharType="end"/>
          </w:r>
          <w:r>
            <w:rPr>
              <w:rFonts w:hint="eastAsia"/>
            </w:rPr>
            <w:t>4</w:t>
          </w:r>
        </w:p>
        <w:p>
          <w:pPr>
            <w:pStyle w:val="58"/>
            <w:tabs>
              <w:tab w:val="right" w:leader="dot" w:pos="9752"/>
            </w:tabs>
            <w:spacing w:line="360" w:lineRule="auto"/>
            <w:ind w:left="420"/>
            <w:rPr>
              <w:b/>
            </w:rPr>
          </w:pPr>
          <w:r>
            <w:fldChar w:fldCharType="begin"/>
          </w:r>
          <w:r>
            <w:instrText xml:space="preserve"> HYPERLINK \l "_Toc8242" </w:instrText>
          </w:r>
          <w:r>
            <w:fldChar w:fldCharType="separate"/>
          </w:r>
          <w:r>
            <w:rPr>
              <w:szCs w:val="24"/>
            </w:rPr>
            <w:t>附件</w:t>
          </w:r>
          <w:r>
            <w:rPr>
              <w:rFonts w:hint="eastAsia"/>
              <w:szCs w:val="24"/>
            </w:rPr>
            <w:t>4：法定代表人授权书</w:t>
          </w:r>
          <w:r>
            <w:tab/>
          </w:r>
          <w:r>
            <w:fldChar w:fldCharType="begin"/>
          </w:r>
          <w:r>
            <w:instrText xml:space="preserve"> PAGEREF _Toc8242 \h </w:instrText>
          </w:r>
          <w:r>
            <w:fldChar w:fldCharType="separate"/>
          </w:r>
          <w:r>
            <w:t>22</w:t>
          </w:r>
          <w:r>
            <w:fldChar w:fldCharType="end"/>
          </w:r>
          <w:r>
            <w:fldChar w:fldCharType="end"/>
          </w:r>
        </w:p>
        <w:p>
          <w:pPr>
            <w:pStyle w:val="58"/>
            <w:tabs>
              <w:tab w:val="right" w:leader="dot" w:pos="9752"/>
            </w:tabs>
            <w:spacing w:line="360" w:lineRule="auto"/>
            <w:ind w:left="420"/>
            <w:rPr>
              <w:b/>
            </w:rPr>
          </w:pPr>
          <w:r>
            <w:fldChar w:fldCharType="begin"/>
          </w:r>
          <w:r>
            <w:instrText xml:space="preserve"> HYPERLINK \l "_Toc2504" </w:instrText>
          </w:r>
          <w:r>
            <w:fldChar w:fldCharType="separate"/>
          </w:r>
          <w:r>
            <w:rPr>
              <w:rFonts w:hint="eastAsia"/>
              <w:szCs w:val="24"/>
            </w:rPr>
            <w:t>附件5：南通大学采购谈判二次报价单</w:t>
          </w:r>
          <w:r>
            <w:tab/>
          </w:r>
          <w:r>
            <w:rPr>
              <w:rFonts w:hint="eastAsia"/>
            </w:rPr>
            <w:t>1</w:t>
          </w:r>
          <w:r>
            <w:rPr>
              <w:rFonts w:hint="eastAsia"/>
            </w:rPr>
            <w:fldChar w:fldCharType="end"/>
          </w:r>
          <w:r>
            <w:rPr>
              <w:rFonts w:hint="eastAsia"/>
            </w:rPr>
            <w:t>6</w:t>
          </w:r>
        </w:p>
        <w:p>
          <w:pPr>
            <w:pStyle w:val="58"/>
            <w:tabs>
              <w:tab w:val="right" w:leader="dot" w:pos="9752"/>
            </w:tabs>
            <w:spacing w:line="360" w:lineRule="auto"/>
            <w:ind w:left="420"/>
          </w:pPr>
          <w:r>
            <w:fldChar w:fldCharType="begin"/>
          </w:r>
          <w:r>
            <w:instrText xml:space="preserve"> HYPERLINK \l "_Toc14799" </w:instrText>
          </w:r>
          <w:r>
            <w:fldChar w:fldCharType="separate"/>
          </w:r>
          <w:r>
            <w:rPr>
              <w:rFonts w:hint="eastAsia"/>
              <w:szCs w:val="21"/>
            </w:rPr>
            <w:t>附件6：无重大违法记录声明</w:t>
          </w:r>
          <w:r>
            <w:tab/>
          </w:r>
          <w:r>
            <w:rPr>
              <w:rFonts w:hint="eastAsia"/>
            </w:rPr>
            <w:t>1</w:t>
          </w:r>
          <w:r>
            <w:rPr>
              <w:rFonts w:hint="eastAsia"/>
            </w:rPr>
            <w:fldChar w:fldCharType="end"/>
          </w:r>
          <w:r>
            <w:rPr>
              <w:rFonts w:hint="eastAsia"/>
            </w:rPr>
            <w:t>7</w:t>
          </w:r>
        </w:p>
        <w:p>
          <w:pPr>
            <w:pStyle w:val="58"/>
            <w:tabs>
              <w:tab w:val="right" w:leader="dot" w:pos="9752"/>
            </w:tabs>
            <w:spacing w:line="360" w:lineRule="auto"/>
            <w:ind w:left="420"/>
            <w:rPr>
              <w:b/>
            </w:rPr>
          </w:pPr>
          <w:r>
            <w:fldChar w:fldCharType="begin"/>
          </w:r>
          <w:r>
            <w:instrText xml:space="preserve"> HYPERLINK \l "_Toc19809" </w:instrText>
          </w:r>
          <w:r>
            <w:fldChar w:fldCharType="separate"/>
          </w:r>
          <w:r>
            <w:rPr>
              <w:rFonts w:hint="eastAsia"/>
              <w:szCs w:val="21"/>
            </w:rPr>
            <w:t>附件7：诚信承诺书</w:t>
          </w:r>
          <w:r>
            <w:tab/>
          </w:r>
          <w:r>
            <w:rPr>
              <w:rFonts w:hint="eastAsia"/>
            </w:rPr>
            <w:t>1</w:t>
          </w:r>
          <w:r>
            <w:rPr>
              <w:rFonts w:hint="eastAsia"/>
            </w:rPr>
            <w:fldChar w:fldCharType="end"/>
          </w:r>
          <w:r>
            <w:rPr>
              <w:rFonts w:hint="eastAsia"/>
            </w:rPr>
            <w:t>8</w:t>
          </w:r>
        </w:p>
        <w:p>
          <w:pPr>
            <w:spacing w:line="360" w:lineRule="auto"/>
          </w:pPr>
          <w:r>
            <w:rPr>
              <w:b/>
            </w:rPr>
            <w:fldChar w:fldCharType="end"/>
          </w:r>
        </w:p>
      </w:sdtContent>
    </w:sdt>
    <w:p>
      <w:pPr>
        <w:pStyle w:val="2"/>
      </w:pPr>
      <w:bookmarkStart w:id="2" w:name="_Toc24759"/>
      <w:bookmarkStart w:id="3" w:name="_Toc135926835"/>
    </w:p>
    <w:p>
      <w:pPr>
        <w:rPr>
          <w:color w:val="000000" w:themeColor="text1"/>
          <w14:textFill>
            <w14:solidFill>
              <w14:schemeClr w14:val="tx1"/>
            </w14:solidFill>
          </w14:textFill>
        </w:rPr>
      </w:pPr>
    </w:p>
    <w:p>
      <w:pPr>
        <w:pStyle w:val="8"/>
      </w:pPr>
    </w:p>
    <w:p>
      <w:pPr>
        <w:pStyle w:val="8"/>
        <w:rPr>
          <w:color w:val="000000" w:themeColor="text1"/>
          <w14:textFill>
            <w14:solidFill>
              <w14:schemeClr w14:val="tx1"/>
            </w14:solidFill>
          </w14:textFill>
        </w:rPr>
      </w:pPr>
    </w:p>
    <w:p/>
    <w:p>
      <w:pPr>
        <w:rPr>
          <w:color w:val="000000" w:themeColor="text1"/>
          <w14:textFill>
            <w14:solidFill>
              <w14:schemeClr w14:val="tx1"/>
            </w14:solidFill>
          </w14:textFill>
        </w:rPr>
      </w:pPr>
    </w:p>
    <w:p>
      <w:pPr>
        <w:pStyle w:val="8"/>
      </w:pPr>
    </w:p>
    <w:p>
      <w:pPr>
        <w:rPr>
          <w:color w:val="000000" w:themeColor="text1"/>
          <w14:textFill>
            <w14:solidFill>
              <w14:schemeClr w14:val="tx1"/>
            </w14:solidFill>
          </w14:textFill>
        </w:rPr>
      </w:pPr>
    </w:p>
    <w:p>
      <w:pPr>
        <w:pStyle w:val="8"/>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8"/>
        <w:rPr>
          <w:color w:val="000000" w:themeColor="text1"/>
          <w14:textFill>
            <w14:solidFill>
              <w14:schemeClr w14:val="tx1"/>
            </w14:solidFill>
          </w14:textFill>
        </w:rPr>
      </w:pPr>
    </w:p>
    <w:p/>
    <w:p>
      <w:pPr>
        <w:pStyle w:val="2"/>
        <w:rPr>
          <w:rFonts w:eastAsia="黑体"/>
        </w:rPr>
      </w:pPr>
      <w:r>
        <w:rPr>
          <w:rFonts w:hint="eastAsia"/>
        </w:rPr>
        <w:t>第一部分</w:t>
      </w:r>
      <w:r>
        <w:t xml:space="preserve"> </w:t>
      </w:r>
      <w:r>
        <w:rPr>
          <w:rFonts w:hint="eastAsia"/>
        </w:rPr>
        <w:t>单一来源采购公告</w:t>
      </w:r>
      <w:bookmarkEnd w:id="2"/>
      <w:bookmarkEnd w:id="3"/>
    </w:p>
    <w:p>
      <w:pPr>
        <w:spacing w:line="360" w:lineRule="auto"/>
        <w:ind w:firstLine="496" w:firstLineChars="200"/>
        <w:rPr>
          <w:color w:val="000000" w:themeColor="text1"/>
          <w:spacing w:val="4"/>
          <w:sz w:val="24"/>
          <w14:textFill>
            <w14:solidFill>
              <w14:schemeClr w14:val="tx1"/>
            </w14:solidFill>
          </w14:textFill>
        </w:rPr>
      </w:pPr>
      <w:r>
        <w:rPr>
          <w:rFonts w:hint="eastAsia"/>
          <w:color w:val="000000" w:themeColor="text1"/>
          <w:spacing w:val="4"/>
          <w:sz w:val="24"/>
          <w14:textFill>
            <w14:solidFill>
              <w14:schemeClr w14:val="tx1"/>
            </w14:solidFill>
          </w14:textFill>
        </w:rPr>
        <w:t>南通大学拟采取</w:t>
      </w:r>
      <w:r>
        <w:rPr>
          <w:rFonts w:hint="eastAsia"/>
          <w:b/>
          <w:color w:val="000000" w:themeColor="text1"/>
          <w:spacing w:val="4"/>
          <w:sz w:val="24"/>
          <w14:textFill>
            <w14:solidFill>
              <w14:schemeClr w14:val="tx1"/>
            </w14:solidFill>
          </w14:textFill>
        </w:rPr>
        <w:t>单一来源</w:t>
      </w:r>
      <w:r>
        <w:rPr>
          <w:rFonts w:hint="eastAsia"/>
          <w:color w:val="000000" w:themeColor="text1"/>
          <w:spacing w:val="4"/>
          <w:sz w:val="24"/>
          <w14:textFill>
            <w14:solidFill>
              <w14:schemeClr w14:val="tx1"/>
            </w14:solidFill>
          </w14:textFill>
        </w:rPr>
        <w:t>方式购买辅导猫云服务</w:t>
      </w:r>
      <w:r>
        <w:rPr>
          <w:color w:val="000000" w:themeColor="text1"/>
          <w:spacing w:val="4"/>
          <w:sz w:val="24"/>
          <w14:textFill>
            <w14:solidFill>
              <w14:schemeClr w14:val="tx1"/>
            </w14:solidFill>
          </w14:textFill>
        </w:rPr>
        <w:t>，现就相关事宜公告如下：</w:t>
      </w:r>
    </w:p>
    <w:p>
      <w:pPr>
        <w:pStyle w:val="43"/>
        <w:spacing w:line="360" w:lineRule="auto"/>
        <w:ind w:left="498" w:firstLine="0" w:firstLineChars="0"/>
        <w:outlineLvl w:val="1"/>
        <w:rPr>
          <w:b/>
          <w:color w:val="000000" w:themeColor="text1"/>
          <w:spacing w:val="4"/>
          <w:sz w:val="24"/>
          <w14:textFill>
            <w14:solidFill>
              <w14:schemeClr w14:val="tx1"/>
            </w14:solidFill>
          </w14:textFill>
        </w:rPr>
      </w:pPr>
      <w:bookmarkStart w:id="4" w:name="_Toc25519"/>
      <w:r>
        <w:rPr>
          <w:rFonts w:hint="eastAsia"/>
          <w:b/>
          <w:color w:val="000000" w:themeColor="text1"/>
          <w:spacing w:val="4"/>
          <w:sz w:val="24"/>
          <w14:textFill>
            <w14:solidFill>
              <w14:schemeClr w14:val="tx1"/>
            </w14:solidFill>
          </w14:textFill>
        </w:rPr>
        <w:t>一、项目名称：</w:t>
      </w:r>
      <w:bookmarkEnd w:id="4"/>
      <w:r>
        <w:rPr>
          <w:rFonts w:hint="eastAsia"/>
          <w:b/>
          <w:color w:val="000000" w:themeColor="text1"/>
          <w:spacing w:val="4"/>
          <w:sz w:val="24"/>
          <w14:textFill>
            <w14:solidFill>
              <w14:schemeClr w14:val="tx1"/>
            </w14:solidFill>
          </w14:textFill>
        </w:rPr>
        <w:t>辅导猫云服务</w:t>
      </w:r>
    </w:p>
    <w:p>
      <w:pPr>
        <w:pStyle w:val="43"/>
        <w:spacing w:line="360" w:lineRule="auto"/>
        <w:ind w:left="498" w:firstLine="0" w:firstLineChars="0"/>
        <w:rPr>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二、项目编号：</w:t>
      </w:r>
      <w:r>
        <w:rPr>
          <w:b/>
          <w:color w:val="000000" w:themeColor="text1"/>
          <w:sz w:val="24"/>
          <w14:textFill>
            <w14:solidFill>
              <w14:schemeClr w14:val="tx1"/>
            </w14:solidFill>
          </w14:textFill>
        </w:rPr>
        <w:t>TDFW(DY)2024-030</w:t>
      </w:r>
    </w:p>
    <w:p>
      <w:pPr>
        <w:spacing w:line="360" w:lineRule="auto"/>
        <w:ind w:left="498"/>
        <w:rPr>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三、项目品名、最高限价及技术规格：</w:t>
      </w:r>
      <w:r>
        <w:rPr>
          <w:rFonts w:hint="eastAsia"/>
          <w:color w:val="000000" w:themeColor="text1"/>
          <w:spacing w:val="4"/>
          <w:sz w:val="24"/>
          <w14:textFill>
            <w14:solidFill>
              <w14:schemeClr w14:val="tx1"/>
            </w14:solidFill>
          </w14:textFill>
        </w:rPr>
        <w:t>详见本文件第三部分“采购项目要求及相关说明”。</w:t>
      </w:r>
    </w:p>
    <w:p>
      <w:pPr>
        <w:spacing w:line="360" w:lineRule="auto"/>
        <w:ind w:firstLine="498" w:firstLineChars="200"/>
        <w:rPr>
          <w:b/>
          <w:color w:val="000000" w:themeColor="text1"/>
          <w:spacing w:val="4"/>
          <w:sz w:val="24"/>
          <w14:textFill>
            <w14:solidFill>
              <w14:schemeClr w14:val="tx1"/>
            </w14:solidFill>
          </w14:textFill>
        </w:rPr>
      </w:pPr>
      <w:r>
        <w:rPr>
          <w:rFonts w:hint="eastAsia"/>
          <w:b/>
          <w:color w:val="000000" w:themeColor="text1"/>
          <w:spacing w:val="4"/>
          <w:sz w:val="24"/>
          <w14:textFill>
            <w14:solidFill>
              <w14:schemeClr w14:val="tx1"/>
            </w14:solidFill>
          </w14:textFill>
        </w:rPr>
        <w:t>四、邀请的单一来源投标人：</w:t>
      </w:r>
      <w:r>
        <w:rPr>
          <w:rFonts w:hint="eastAsia" w:cs="宋体"/>
          <w:spacing w:val="2"/>
          <w:kern w:val="0"/>
          <w:sz w:val="24"/>
        </w:rPr>
        <w:t>江苏金智教育信息股份有限公司</w:t>
      </w:r>
    </w:p>
    <w:p>
      <w:pPr>
        <w:spacing w:line="360" w:lineRule="auto"/>
        <w:ind w:firstLine="490" w:firstLineChars="200"/>
        <w:rPr>
          <w:b/>
          <w:spacing w:val="4"/>
          <w:sz w:val="24"/>
        </w:rPr>
      </w:pPr>
      <w:r>
        <w:rPr>
          <w:rFonts w:hint="eastAsia" w:cs="宋体"/>
          <w:b/>
          <w:spacing w:val="2"/>
          <w:kern w:val="0"/>
          <w:sz w:val="24"/>
        </w:rPr>
        <w:t>五、公示期：</w:t>
      </w:r>
      <w:r>
        <w:rPr>
          <w:spacing w:val="4"/>
          <w:sz w:val="24"/>
        </w:rPr>
        <w:t>20</w:t>
      </w:r>
      <w:r>
        <w:rPr>
          <w:rFonts w:hint="eastAsia"/>
          <w:spacing w:val="4"/>
          <w:sz w:val="24"/>
        </w:rPr>
        <w:t>24</w:t>
      </w:r>
      <w:r>
        <w:rPr>
          <w:spacing w:val="4"/>
          <w:sz w:val="24"/>
        </w:rPr>
        <w:t>年</w:t>
      </w:r>
      <w:r>
        <w:rPr>
          <w:rFonts w:hint="eastAsia"/>
          <w:spacing w:val="4"/>
          <w:sz w:val="24"/>
        </w:rPr>
        <w:t>3月2</w:t>
      </w:r>
      <w:r>
        <w:rPr>
          <w:spacing w:val="4"/>
          <w:sz w:val="24"/>
        </w:rPr>
        <w:t>7</w:t>
      </w:r>
      <w:r>
        <w:rPr>
          <w:rFonts w:hint="eastAsia"/>
          <w:spacing w:val="4"/>
          <w:sz w:val="24"/>
        </w:rPr>
        <w:t>日-</w:t>
      </w:r>
      <w:r>
        <w:rPr>
          <w:spacing w:val="4"/>
          <w:sz w:val="24"/>
        </w:rPr>
        <w:t>20</w:t>
      </w:r>
      <w:r>
        <w:rPr>
          <w:rFonts w:hint="eastAsia"/>
          <w:spacing w:val="4"/>
          <w:sz w:val="24"/>
        </w:rPr>
        <w:t>24</w:t>
      </w:r>
      <w:r>
        <w:rPr>
          <w:spacing w:val="4"/>
          <w:sz w:val="24"/>
        </w:rPr>
        <w:t>年</w:t>
      </w:r>
      <w:r>
        <w:rPr>
          <w:rFonts w:hint="eastAsia"/>
          <w:spacing w:val="4"/>
          <w:sz w:val="24"/>
        </w:rPr>
        <w:t>4月</w:t>
      </w:r>
      <w:r>
        <w:rPr>
          <w:spacing w:val="4"/>
          <w:sz w:val="24"/>
        </w:rPr>
        <w:t>2</w:t>
      </w:r>
      <w:r>
        <w:rPr>
          <w:rFonts w:hint="eastAsia"/>
          <w:spacing w:val="4"/>
          <w:sz w:val="24"/>
        </w:rPr>
        <w:t>日</w:t>
      </w:r>
    </w:p>
    <w:p>
      <w:pPr>
        <w:spacing w:line="360" w:lineRule="auto"/>
        <w:ind w:firstLine="496" w:firstLineChars="200"/>
        <w:rPr>
          <w:color w:val="000000" w:themeColor="text1"/>
          <w:spacing w:val="4"/>
          <w:sz w:val="24"/>
          <w14:textFill>
            <w14:solidFill>
              <w14:schemeClr w14:val="tx1"/>
            </w14:solidFill>
          </w14:textFill>
        </w:rPr>
      </w:pPr>
      <w:r>
        <w:rPr>
          <w:rFonts w:hint="eastAsia"/>
          <w:color w:val="000000" w:themeColor="text1"/>
          <w:spacing w:val="4"/>
          <w:sz w:val="24"/>
          <w14:textFill>
            <w14:solidFill>
              <w14:schemeClr w14:val="tx1"/>
            </w14:solidFill>
          </w14:textFill>
        </w:rPr>
        <w:t>提示：任何单位、组织或个人对本项目采用单一来源方式如有异议，请在公示截止日期之前以书面的形式反馈我单位，非常感谢您的参与。</w:t>
      </w:r>
    </w:p>
    <w:p>
      <w:pPr>
        <w:widowControl/>
        <w:spacing w:line="360" w:lineRule="auto"/>
        <w:ind w:firstLine="495"/>
        <w:jc w:val="left"/>
        <w:rPr>
          <w:rFonts w:cs="宋体"/>
          <w:b/>
          <w:bCs/>
          <w:kern w:val="0"/>
          <w:sz w:val="24"/>
        </w:rPr>
      </w:pPr>
      <w:r>
        <w:rPr>
          <w:rFonts w:hint="eastAsia" w:cs="宋体"/>
          <w:kern w:val="0"/>
          <w:sz w:val="24"/>
        </w:rPr>
        <w:t>如无异议，拟定开标时间：</w:t>
      </w:r>
      <w:r>
        <w:rPr>
          <w:b/>
          <w:bCs/>
          <w:spacing w:val="4"/>
          <w:sz w:val="24"/>
        </w:rPr>
        <w:t>20</w:t>
      </w:r>
      <w:r>
        <w:rPr>
          <w:rFonts w:hint="eastAsia"/>
          <w:b/>
          <w:bCs/>
          <w:spacing w:val="4"/>
          <w:sz w:val="24"/>
        </w:rPr>
        <w:t>24</w:t>
      </w:r>
      <w:r>
        <w:rPr>
          <w:b/>
          <w:bCs/>
          <w:spacing w:val="4"/>
          <w:sz w:val="24"/>
        </w:rPr>
        <w:t>年</w:t>
      </w:r>
      <w:r>
        <w:rPr>
          <w:rFonts w:hint="eastAsia"/>
          <w:b/>
          <w:bCs/>
          <w:spacing w:val="4"/>
          <w:sz w:val="24"/>
        </w:rPr>
        <w:t>4月</w:t>
      </w:r>
      <w:r>
        <w:rPr>
          <w:b/>
          <w:bCs/>
          <w:spacing w:val="4"/>
          <w:sz w:val="24"/>
        </w:rPr>
        <w:t>3</w:t>
      </w:r>
      <w:r>
        <w:rPr>
          <w:rFonts w:hint="eastAsia"/>
          <w:b/>
          <w:bCs/>
          <w:spacing w:val="4"/>
          <w:sz w:val="24"/>
        </w:rPr>
        <w:t>日9时</w:t>
      </w:r>
      <w:r>
        <w:rPr>
          <w:b/>
          <w:bCs/>
          <w:spacing w:val="4"/>
          <w:sz w:val="24"/>
        </w:rPr>
        <w:t>30</w:t>
      </w:r>
      <w:r>
        <w:rPr>
          <w:rFonts w:hint="eastAsia"/>
          <w:b/>
          <w:bCs/>
          <w:spacing w:val="4"/>
          <w:sz w:val="24"/>
        </w:rPr>
        <w:t>分</w:t>
      </w:r>
    </w:p>
    <w:p>
      <w:pPr>
        <w:widowControl/>
        <w:spacing w:line="360" w:lineRule="auto"/>
        <w:ind w:firstLine="495"/>
        <w:jc w:val="left"/>
        <w:outlineLvl w:val="1"/>
        <w:rPr>
          <w:rFonts w:cs="宋体"/>
          <w:color w:val="000000" w:themeColor="text1"/>
          <w:kern w:val="0"/>
          <w:szCs w:val="21"/>
          <w14:textFill>
            <w14:solidFill>
              <w14:schemeClr w14:val="tx1"/>
            </w14:solidFill>
          </w14:textFill>
        </w:rPr>
      </w:pPr>
      <w:bookmarkStart w:id="5" w:name="_Toc20847"/>
      <w:r>
        <w:rPr>
          <w:rFonts w:hint="eastAsia" w:cs="宋体"/>
          <w:b/>
          <w:bCs/>
          <w:color w:val="000000" w:themeColor="text1"/>
          <w:kern w:val="0"/>
          <w:sz w:val="24"/>
          <w14:textFill>
            <w14:solidFill>
              <w14:schemeClr w14:val="tx1"/>
            </w14:solidFill>
          </w14:textFill>
        </w:rPr>
        <w:t>六、投标人资格审查方式：</w:t>
      </w:r>
      <w:r>
        <w:rPr>
          <w:rFonts w:hint="eastAsia" w:cs="宋体"/>
          <w:color w:val="000000" w:themeColor="text1"/>
          <w:kern w:val="0"/>
          <w:sz w:val="24"/>
          <w14:textFill>
            <w14:solidFill>
              <w14:schemeClr w14:val="tx1"/>
            </w14:solidFill>
          </w14:textFill>
        </w:rPr>
        <w:t>资格预审。</w:t>
      </w:r>
      <w:bookmarkEnd w:id="5"/>
    </w:p>
    <w:p>
      <w:pPr>
        <w:widowControl/>
        <w:spacing w:line="360" w:lineRule="auto"/>
        <w:ind w:firstLine="480"/>
        <w:jc w:val="left"/>
        <w:rPr>
          <w:rFonts w:cs="宋体"/>
          <w:color w:val="000000" w:themeColor="text1"/>
          <w:kern w:val="0"/>
          <w:sz w:val="24"/>
          <w14:textFill>
            <w14:solidFill>
              <w14:schemeClr w14:val="tx1"/>
            </w14:solidFill>
          </w14:textFill>
        </w:rPr>
      </w:pPr>
      <w:r>
        <w:rPr>
          <w:rFonts w:hint="eastAsia" w:cs="宋体"/>
          <w:b/>
          <w:bCs/>
          <w:color w:val="000000" w:themeColor="text1"/>
          <w:kern w:val="0"/>
          <w:sz w:val="24"/>
          <w14:textFill>
            <w14:solidFill>
              <w14:schemeClr w14:val="tx1"/>
            </w14:solidFill>
          </w14:textFill>
        </w:rPr>
        <w:t>七、单一来源采购文件获取：</w:t>
      </w:r>
      <w:r>
        <w:rPr>
          <w:rFonts w:hint="eastAsia" w:cs="宋体"/>
          <w:color w:val="000000" w:themeColor="text1"/>
          <w:kern w:val="0"/>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7"/>
          <w:rFonts w:hint="eastAsia" w:eastAsia="微软雅黑" w:cs="宋体"/>
          <w:color w:val="000000" w:themeColor="text1"/>
          <w:kern w:val="0"/>
          <w:sz w:val="24"/>
          <w14:textFill>
            <w14:solidFill>
              <w14:schemeClr w14:val="tx1"/>
            </w14:solidFill>
          </w14:textFill>
        </w:rPr>
        <w:t>ztb@ntu.edu.cn</w:t>
      </w:r>
      <w:r>
        <w:rPr>
          <w:rStyle w:val="27"/>
          <w:rFonts w:hint="eastAsia" w:eastAsia="微软雅黑" w:cs="宋体"/>
          <w:color w:val="000000" w:themeColor="text1"/>
          <w:kern w:val="0"/>
          <w:sz w:val="24"/>
          <w14:textFill>
            <w14:solidFill>
              <w14:schemeClr w14:val="tx1"/>
            </w14:solidFill>
          </w14:textFill>
        </w:rPr>
        <w:fldChar w:fldCharType="end"/>
      </w:r>
      <w:r>
        <w:rPr>
          <w:rFonts w:hint="eastAsia" w:cs="宋体"/>
          <w:color w:val="000000" w:themeColor="text1"/>
          <w:kern w:val="0"/>
          <w:sz w:val="24"/>
          <w14:textFill>
            <w14:solidFill>
              <w14:schemeClr w14:val="tx1"/>
            </w14:solidFill>
          </w14:textFill>
        </w:rPr>
        <w:t>下载。</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潜在投标人如确定参加投标，请务必在南通大学供应商库(https://ztb.ntu.edu.cn/gyszc.htm)规定时间内注册并完成报名，若未按上述要求操作，将自行承担所产生的风险。</w:t>
      </w:r>
    </w:p>
    <w:p>
      <w:pPr>
        <w:spacing w:line="360" w:lineRule="auto"/>
        <w:ind w:firstLine="482" w:firstLineChars="200"/>
        <w:outlineLvl w:val="1"/>
        <w:rPr>
          <w:color w:val="000000" w:themeColor="text1"/>
          <w:sz w:val="24"/>
          <w14:textFill>
            <w14:solidFill>
              <w14:schemeClr w14:val="tx1"/>
            </w14:solidFill>
          </w14:textFill>
        </w:rPr>
      </w:pPr>
      <w:bookmarkStart w:id="6" w:name="_Toc4774"/>
      <w:r>
        <w:rPr>
          <w:rFonts w:hint="eastAsia"/>
          <w:b/>
          <w:color w:val="000000" w:themeColor="text1"/>
          <w:sz w:val="24"/>
          <w14:textFill>
            <w14:solidFill>
              <w14:schemeClr w14:val="tx1"/>
            </w14:solidFill>
          </w14:textFill>
        </w:rPr>
        <w:t>九、单一来源采购文件售价：</w:t>
      </w:r>
      <w:r>
        <w:rPr>
          <w:rFonts w:hint="eastAsia"/>
          <w:color w:val="000000" w:themeColor="text1"/>
          <w:sz w:val="24"/>
          <w14:textFill>
            <w14:solidFill>
              <w14:schemeClr w14:val="tx1"/>
            </w14:solidFill>
          </w14:textFill>
        </w:rPr>
        <w:t>人民币5</w:t>
      </w:r>
      <w:r>
        <w:rPr>
          <w:color w:val="000000" w:themeColor="text1"/>
          <w:sz w:val="24"/>
          <w14:textFill>
            <w14:solidFill>
              <w14:schemeClr w14:val="tx1"/>
            </w14:solidFill>
          </w14:textFill>
        </w:rPr>
        <w:t>00</w:t>
      </w:r>
      <w:r>
        <w:rPr>
          <w:rFonts w:hint="eastAsia"/>
          <w:color w:val="000000" w:themeColor="text1"/>
          <w:sz w:val="24"/>
          <w14:textFill>
            <w14:solidFill>
              <w14:schemeClr w14:val="tx1"/>
            </w14:solidFill>
          </w14:textFill>
        </w:rPr>
        <w:t>元</w:t>
      </w:r>
      <w:bookmarkEnd w:id="6"/>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（通过</w:t>
      </w:r>
      <w:r>
        <w:rPr>
          <w:rFonts w:hint="eastAsia"/>
        </w:rPr>
        <w:fldChar w:fldCharType="begin"/>
      </w:r>
      <w:r>
        <w:instrText xml:space="preserve"> HYPERLINK "https://ztb.ntu.edu.cn/gyszc.htm" </w:instrText>
      </w:r>
      <w:r>
        <w:rPr>
          <w:rFonts w:hint="eastAsia"/>
        </w:rPr>
        <w:fldChar w:fldCharType="separate"/>
      </w:r>
      <w:r>
        <w:rPr>
          <w:rStyle w:val="27"/>
          <w:rFonts w:hint="eastAsia"/>
          <w:color w:val="000000" w:themeColor="text1"/>
          <w:spacing w:val="4"/>
          <w:sz w:val="24"/>
          <w14:textFill>
            <w14:solidFill>
              <w14:schemeClr w14:val="tx1"/>
            </w14:solidFill>
          </w14:textFill>
        </w:rPr>
        <w:t>https://ztb.ntu.edu.cn/gyszc.htm</w:t>
      </w:r>
      <w:r>
        <w:rPr>
          <w:rStyle w:val="27"/>
          <w:rFonts w:hint="eastAsia"/>
          <w:color w:val="000000" w:themeColor="text1"/>
          <w:spacing w:val="4"/>
          <w:sz w:val="24"/>
          <w14:textFill>
            <w14:solidFill>
              <w14:schemeClr w14:val="tx1"/>
            </w14:solidFill>
          </w14:textFill>
        </w:rPr>
        <w:fldChar w:fldCharType="end"/>
      </w:r>
      <w:r>
        <w:rPr>
          <w:rFonts w:hint="eastAsia"/>
          <w:color w:val="000000" w:themeColor="text1"/>
          <w:spacing w:val="4"/>
          <w:sz w:val="24"/>
          <w14:textFill>
            <w14:solidFill>
              <w14:schemeClr w14:val="tx1"/>
            </w14:solidFill>
          </w14:textFill>
        </w:rPr>
        <w:t>报名并</w:t>
      </w:r>
      <w:r>
        <w:rPr>
          <w:rFonts w:hint="eastAsia"/>
          <w:color w:val="000000" w:themeColor="text1"/>
          <w:sz w:val="24"/>
          <w14:textFill>
            <w14:solidFill>
              <w14:schemeClr w14:val="tx1"/>
            </w14:solidFill>
          </w14:textFill>
        </w:rPr>
        <w:t>收取，事后不退）。</w:t>
      </w:r>
    </w:p>
    <w:p>
      <w:pPr>
        <w:pStyle w:val="18"/>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14:textFill>
            <w14:solidFill>
              <w14:schemeClr w14:val="tx1"/>
            </w14:solidFill>
          </w14:textFill>
        </w:rPr>
      </w:pPr>
      <w:bookmarkStart w:id="7" w:name="_Toc9296"/>
      <w:r>
        <w:rPr>
          <w:rFonts w:hint="eastAsia" w:ascii="Times New Roman" w:hAnsi="Times New Roman"/>
          <w:b/>
          <w:color w:val="000000" w:themeColor="text1"/>
          <w:kern w:val="2"/>
          <w:sz w:val="24"/>
          <w:szCs w:val="24"/>
          <w14:textFill>
            <w14:solidFill>
              <w14:schemeClr w14:val="tx1"/>
            </w14:solidFill>
          </w14:textFill>
        </w:rPr>
        <w:t>十、投标文件递交方式</w:t>
      </w:r>
      <w:bookmarkEnd w:id="7"/>
    </w:p>
    <w:p>
      <w:pPr>
        <w:pStyle w:val="18"/>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hint="eastAsia" w:ascii="Times New Roman" w:hAnsi="Times New Roman"/>
          <w:b/>
          <w:color w:val="auto"/>
          <w:kern w:val="2"/>
          <w:sz w:val="24"/>
          <w:szCs w:val="24"/>
        </w:rPr>
        <w:t>现场递交</w:t>
      </w:r>
      <w:r>
        <w:rPr>
          <w:rFonts w:hint="eastAsia" w:ascii="Times New Roman" w:hAnsi="Times New Roman"/>
          <w:color w:val="auto"/>
          <w:kern w:val="2"/>
          <w:sz w:val="24"/>
          <w:szCs w:val="24"/>
        </w:rPr>
        <w:t>：</w:t>
      </w:r>
    </w:p>
    <w:p>
      <w:pPr>
        <w:spacing w:line="360" w:lineRule="auto"/>
        <w:ind w:firstLine="498" w:firstLineChars="200"/>
        <w:rPr>
          <w:rFonts w:ascii="宋体" w:hAnsi="宋体"/>
          <w:spacing w:val="4"/>
          <w:sz w:val="24"/>
        </w:rPr>
      </w:pPr>
      <w:r>
        <w:rPr>
          <w:rFonts w:hint="eastAsia" w:ascii="宋体" w:hAnsi="宋体"/>
          <w:b/>
          <w:spacing w:val="4"/>
          <w:sz w:val="24"/>
        </w:rPr>
        <w:t>（1）投标文件接收开始时间：</w:t>
      </w:r>
      <w:r>
        <w:rPr>
          <w:rFonts w:hint="eastAsia" w:ascii="宋体" w:hAnsi="宋体"/>
          <w:spacing w:val="4"/>
          <w:sz w:val="24"/>
        </w:rPr>
        <w:t>2024年4</w:t>
      </w:r>
      <w:r>
        <w:rPr>
          <w:rFonts w:hint="eastAsia" w:ascii="宋体" w:hAnsi="宋体"/>
          <w:spacing w:val="2"/>
          <w:kern w:val="0"/>
          <w:sz w:val="24"/>
        </w:rPr>
        <w:t>月</w:t>
      </w:r>
      <w:r>
        <w:rPr>
          <w:rFonts w:ascii="宋体" w:hAnsi="宋体"/>
          <w:spacing w:val="2"/>
          <w:kern w:val="0"/>
          <w:sz w:val="24"/>
        </w:rPr>
        <w:t>3</w:t>
      </w:r>
      <w:r>
        <w:rPr>
          <w:rFonts w:hint="eastAsia" w:ascii="宋体" w:hAnsi="宋体"/>
          <w:spacing w:val="2"/>
          <w:kern w:val="0"/>
          <w:sz w:val="24"/>
        </w:rPr>
        <w:t>日9时</w:t>
      </w:r>
      <w:r>
        <w:rPr>
          <w:rFonts w:ascii="宋体" w:hAnsi="宋体"/>
          <w:spacing w:val="4"/>
          <w:sz w:val="24"/>
        </w:rPr>
        <w:t>00</w:t>
      </w:r>
      <w:r>
        <w:rPr>
          <w:rFonts w:hint="eastAsia" w:ascii="宋体" w:hAnsi="宋体"/>
          <w:spacing w:val="4"/>
          <w:sz w:val="24"/>
        </w:rPr>
        <w:t>分</w:t>
      </w:r>
    </w:p>
    <w:p>
      <w:pPr>
        <w:spacing w:line="360" w:lineRule="auto"/>
        <w:ind w:firstLine="498" w:firstLineChars="200"/>
        <w:rPr>
          <w:rFonts w:ascii="宋体" w:hAnsi="宋体"/>
          <w:spacing w:val="4"/>
          <w:sz w:val="24"/>
        </w:rPr>
      </w:pPr>
      <w:r>
        <w:rPr>
          <w:rFonts w:hint="eastAsia" w:ascii="宋体" w:hAnsi="宋体"/>
          <w:b/>
          <w:spacing w:val="4"/>
          <w:sz w:val="24"/>
        </w:rPr>
        <w:t>（2）投标文件接收截止时间及开标时间</w:t>
      </w:r>
      <w:r>
        <w:rPr>
          <w:rFonts w:hint="eastAsia" w:ascii="宋体"/>
          <w:b/>
          <w:spacing w:val="4"/>
          <w:sz w:val="24"/>
        </w:rPr>
        <w:t>：</w:t>
      </w:r>
      <w:r>
        <w:rPr>
          <w:rFonts w:hint="eastAsia" w:ascii="宋体" w:hAnsi="宋体"/>
          <w:spacing w:val="4"/>
          <w:sz w:val="24"/>
        </w:rPr>
        <w:t>2024年4</w:t>
      </w:r>
      <w:r>
        <w:rPr>
          <w:rFonts w:hint="eastAsia" w:ascii="宋体" w:hAnsi="宋体"/>
          <w:spacing w:val="2"/>
          <w:kern w:val="0"/>
          <w:sz w:val="24"/>
        </w:rPr>
        <w:t>月</w:t>
      </w:r>
      <w:r>
        <w:rPr>
          <w:rFonts w:ascii="宋体" w:hAnsi="宋体"/>
          <w:spacing w:val="2"/>
          <w:kern w:val="0"/>
          <w:sz w:val="24"/>
        </w:rPr>
        <w:t>3</w:t>
      </w:r>
      <w:r>
        <w:rPr>
          <w:rFonts w:hint="eastAsia" w:ascii="宋体" w:hAnsi="宋体"/>
          <w:spacing w:val="2"/>
          <w:kern w:val="0"/>
          <w:sz w:val="24"/>
        </w:rPr>
        <w:t>日9时</w:t>
      </w:r>
      <w:r>
        <w:rPr>
          <w:rFonts w:ascii="宋体" w:hAnsi="宋体"/>
          <w:spacing w:val="4"/>
          <w:sz w:val="24"/>
        </w:rPr>
        <w:t>30</w:t>
      </w:r>
      <w:r>
        <w:rPr>
          <w:rFonts w:hint="eastAsia" w:ascii="宋体" w:hAnsi="宋体"/>
          <w:spacing w:val="4"/>
          <w:sz w:val="24"/>
        </w:rPr>
        <w:t>分</w:t>
      </w:r>
    </w:p>
    <w:p>
      <w:pPr>
        <w:spacing w:line="360" w:lineRule="auto"/>
        <w:ind w:firstLine="498" w:firstLineChars="200"/>
        <w:rPr>
          <w:spacing w:val="2"/>
          <w:kern w:val="0"/>
          <w:sz w:val="24"/>
        </w:rPr>
      </w:pPr>
      <w:r>
        <w:rPr>
          <w:rFonts w:hint="eastAsia" w:ascii="宋体"/>
          <w:b/>
          <w:spacing w:val="4"/>
          <w:sz w:val="24"/>
        </w:rPr>
        <w:t>（3）投标文件接收地点：</w:t>
      </w:r>
      <w:r>
        <w:rPr>
          <w:rFonts w:hint="eastAsia" w:ascii="宋体" w:hAnsi="宋体"/>
          <w:spacing w:val="4"/>
          <w:sz w:val="24"/>
        </w:rPr>
        <w:t>南通大学啬园校区</w:t>
      </w:r>
      <w:r>
        <w:rPr>
          <w:rFonts w:hint="eastAsia"/>
          <w:spacing w:val="2"/>
          <w:kern w:val="0"/>
          <w:sz w:val="24"/>
        </w:rPr>
        <w:t>综合楼202室</w:t>
      </w:r>
    </w:p>
    <w:p>
      <w:pPr>
        <w:spacing w:line="360" w:lineRule="auto"/>
        <w:ind w:firstLine="496" w:firstLineChars="200"/>
        <w:rPr>
          <w:rFonts w:ascii="宋体" w:hAnsi="宋体"/>
          <w:spacing w:val="4"/>
          <w:sz w:val="24"/>
        </w:rPr>
      </w:pPr>
      <w:r>
        <w:rPr>
          <w:rFonts w:hint="eastAsia" w:ascii="宋体" w:hAnsi="宋体"/>
          <w:spacing w:val="4"/>
          <w:sz w:val="24"/>
        </w:rPr>
        <w:t>（4）</w:t>
      </w:r>
      <w:r>
        <w:rPr>
          <w:rFonts w:hint="eastAsia" w:ascii="宋体" w:hAnsi="宋体"/>
          <w:b/>
          <w:spacing w:val="4"/>
          <w:sz w:val="24"/>
        </w:rPr>
        <w:t>联系人及联系方式：</w:t>
      </w:r>
      <w:r>
        <w:rPr>
          <w:rFonts w:hint="eastAsia" w:ascii="宋体" w:hAnsi="宋体"/>
          <w:spacing w:val="4"/>
          <w:sz w:val="24"/>
        </w:rPr>
        <w:t>邹老师0513-85012720</w:t>
      </w:r>
    </w:p>
    <w:p>
      <w:pPr>
        <w:spacing w:line="360" w:lineRule="auto"/>
        <w:ind w:firstLine="498" w:firstLineChars="200"/>
        <w:rPr>
          <w:spacing w:val="2"/>
          <w:kern w:val="0"/>
          <w:sz w:val="24"/>
        </w:rPr>
      </w:pPr>
      <w:r>
        <w:rPr>
          <w:rFonts w:hint="eastAsia"/>
          <w:b/>
          <w:spacing w:val="4"/>
          <w:sz w:val="24"/>
        </w:rPr>
        <w:t>十一、评标地点：</w:t>
      </w:r>
      <w:r>
        <w:rPr>
          <w:rFonts w:hint="eastAsia"/>
          <w:spacing w:val="2"/>
          <w:kern w:val="0"/>
          <w:sz w:val="24"/>
        </w:rPr>
        <w:t>南通大学啬园校区综合楼231室</w:t>
      </w:r>
    </w:p>
    <w:p>
      <w:pPr>
        <w:spacing w:line="360" w:lineRule="auto"/>
        <w:ind w:firstLine="490" w:firstLineChars="200"/>
        <w:rPr>
          <w:b/>
          <w:color w:val="000000" w:themeColor="text1"/>
          <w:spacing w:val="2"/>
          <w:kern w:val="0"/>
          <w:sz w:val="24"/>
          <w14:textFill>
            <w14:solidFill>
              <w14:schemeClr w14:val="tx1"/>
            </w14:solidFill>
          </w14:textFill>
        </w:rPr>
      </w:pPr>
      <w:r>
        <w:rPr>
          <w:rFonts w:hint="eastAsia"/>
          <w:b/>
          <w:color w:val="000000" w:themeColor="text1"/>
          <w:spacing w:val="2"/>
          <w:kern w:val="0"/>
          <w:sz w:val="24"/>
          <w14:textFill>
            <w14:solidFill>
              <w14:schemeClr w14:val="tx1"/>
            </w14:solidFill>
          </w14:textFill>
        </w:rPr>
        <w:t>十二、与本次谈判有关的事宜请按下列通讯方式联系</w:t>
      </w:r>
    </w:p>
    <w:p>
      <w:pPr>
        <w:spacing w:line="360" w:lineRule="auto"/>
        <w:ind w:firstLine="488" w:firstLineChars="200"/>
        <w:rPr>
          <w:color w:val="000000" w:themeColor="text1"/>
          <w:spacing w:val="2"/>
          <w:kern w:val="0"/>
          <w:sz w:val="24"/>
          <w14:textFill>
            <w14:solidFill>
              <w14:schemeClr w14:val="tx1"/>
            </w14:solidFill>
          </w14:textFill>
        </w:rPr>
      </w:pPr>
      <w:r>
        <w:rPr>
          <w:rFonts w:hint="eastAsia"/>
          <w:color w:val="000000" w:themeColor="text1"/>
          <w:spacing w:val="2"/>
          <w:kern w:val="0"/>
          <w:sz w:val="24"/>
          <w14:textFill>
            <w14:solidFill>
              <w14:schemeClr w14:val="tx1"/>
            </w14:solidFill>
          </w14:textFill>
        </w:rPr>
        <w:t>如对技术条款有疑问请咨询项目联系人；如对商务条款、采购程序及结果有疑义请咨询招标联系人。</w:t>
      </w:r>
    </w:p>
    <w:p>
      <w:pPr>
        <w:spacing w:line="360" w:lineRule="auto"/>
        <w:ind w:firstLine="490" w:firstLineChars="200"/>
        <w:outlineLvl w:val="0"/>
        <w:rPr>
          <w:rFonts w:ascii="宋体" w:hAnsi="宋体" w:cs="宋体"/>
          <w:color w:val="000000" w:themeColor="text1"/>
          <w:spacing w:val="2"/>
          <w:kern w:val="0"/>
          <w:sz w:val="24"/>
          <w14:textFill>
            <w14:solidFill>
              <w14:schemeClr w14:val="tx1"/>
            </w14:solidFill>
          </w14:textFill>
        </w:rPr>
      </w:pPr>
      <w:bookmarkStart w:id="8" w:name="_Toc20819"/>
      <w:r>
        <w:rPr>
          <w:rFonts w:hint="eastAsia"/>
          <w:b/>
          <w:color w:val="000000" w:themeColor="text1"/>
          <w:spacing w:val="2"/>
          <w:kern w:val="0"/>
          <w:sz w:val="24"/>
          <w14:textFill>
            <w14:solidFill>
              <w14:schemeClr w14:val="tx1"/>
            </w14:solidFill>
          </w14:textFill>
        </w:rPr>
        <w:t>项目联系人及联系</w:t>
      </w:r>
      <w:r>
        <w:rPr>
          <w:rFonts w:hint="eastAsia"/>
          <w:color w:val="000000" w:themeColor="text1"/>
          <w:spacing w:val="2"/>
          <w:kern w:val="0"/>
          <w:sz w:val="24"/>
          <w14:textFill>
            <w14:solidFill>
              <w14:schemeClr w14:val="tx1"/>
            </w14:solidFill>
          </w14:textFill>
        </w:rPr>
        <w:t xml:space="preserve">方式：张老师 </w:t>
      </w:r>
      <w:bookmarkEnd w:id="8"/>
      <w:r>
        <w:rPr>
          <w:color w:val="000000" w:themeColor="text1"/>
          <w:spacing w:val="2"/>
          <w:kern w:val="0"/>
          <w:sz w:val="24"/>
          <w14:textFill>
            <w14:solidFill>
              <w14:schemeClr w14:val="tx1"/>
            </w14:solidFill>
          </w14:textFill>
        </w:rPr>
        <w:t>13962952327</w:t>
      </w:r>
    </w:p>
    <w:p>
      <w:pPr>
        <w:spacing w:line="360" w:lineRule="auto"/>
        <w:ind w:firstLine="490" w:firstLineChars="200"/>
        <w:rPr>
          <w:color w:val="000000" w:themeColor="text1"/>
          <w:spacing w:val="2"/>
          <w:kern w:val="0"/>
          <w:sz w:val="24"/>
          <w14:textFill>
            <w14:solidFill>
              <w14:schemeClr w14:val="tx1"/>
            </w14:solidFill>
          </w14:textFill>
        </w:rPr>
      </w:pPr>
      <w:r>
        <w:rPr>
          <w:rFonts w:hint="eastAsia"/>
          <w:b/>
          <w:color w:val="000000" w:themeColor="text1"/>
          <w:spacing w:val="2"/>
          <w:kern w:val="0"/>
          <w:sz w:val="24"/>
          <w14:textFill>
            <w14:solidFill>
              <w14:schemeClr w14:val="tx1"/>
            </w14:solidFill>
          </w14:textFill>
        </w:rPr>
        <w:t>招标联系人及联系方式：</w:t>
      </w:r>
      <w:r>
        <w:rPr>
          <w:rFonts w:hint="eastAsia" w:ascii="宋体" w:hAnsi="宋体" w:cs="宋体"/>
          <w:color w:val="000000" w:themeColor="text1"/>
          <w:spacing w:val="2"/>
          <w:kern w:val="0"/>
          <w:sz w:val="24"/>
          <w14:textFill>
            <w14:solidFill>
              <w14:schemeClr w14:val="tx1"/>
            </w14:solidFill>
          </w14:textFill>
        </w:rPr>
        <w:t>李韦华0513-85012138；沈伟0513-85012</w:t>
      </w:r>
      <w:r>
        <w:rPr>
          <w:rFonts w:ascii="宋体" w:hAnsi="宋体" w:cs="宋体"/>
          <w:color w:val="000000" w:themeColor="text1"/>
          <w:spacing w:val="2"/>
          <w:kern w:val="0"/>
          <w:sz w:val="24"/>
          <w14:textFill>
            <w14:solidFill>
              <w14:schemeClr w14:val="tx1"/>
            </w14:solidFill>
          </w14:textFill>
        </w:rPr>
        <w:t>365</w:t>
      </w:r>
      <w:r>
        <w:rPr>
          <w:rFonts w:hint="eastAsia" w:ascii="宋体" w:hAnsi="宋体" w:cs="宋体"/>
          <w:color w:val="000000" w:themeColor="text1"/>
          <w:spacing w:val="2"/>
          <w:kern w:val="0"/>
          <w:sz w:val="24"/>
          <w14:textFill>
            <w14:solidFill>
              <w14:schemeClr w14:val="tx1"/>
            </w14:solidFill>
          </w14:textFill>
        </w:rPr>
        <w:t>。</w:t>
      </w:r>
    </w:p>
    <w:p>
      <w:pPr>
        <w:spacing w:line="360" w:lineRule="auto"/>
        <w:rPr>
          <w:color w:val="000000" w:themeColor="text1"/>
          <w:spacing w:val="2"/>
          <w:kern w:val="0"/>
          <w:sz w:val="24"/>
          <w14:textFill>
            <w14:solidFill>
              <w14:schemeClr w14:val="tx1"/>
            </w14:solidFill>
          </w14:textFill>
        </w:rPr>
      </w:pPr>
    </w:p>
    <w:p>
      <w:pPr>
        <w:widowControl/>
        <w:jc w:val="left"/>
        <w:rPr>
          <w:b/>
          <w:color w:val="000000" w:themeColor="text1"/>
          <w:spacing w:val="4"/>
          <w:sz w:val="44"/>
          <w:szCs w:val="44"/>
          <w14:textFill>
            <w14:solidFill>
              <w14:schemeClr w14:val="tx1"/>
            </w14:solidFill>
          </w14:textFill>
        </w:rPr>
      </w:pPr>
      <w:r>
        <w:rPr>
          <w:b/>
          <w:color w:val="000000" w:themeColor="text1"/>
          <w:spacing w:val="4"/>
          <w:sz w:val="44"/>
          <w:szCs w:val="44"/>
          <w14:textFill>
            <w14:solidFill>
              <w14:schemeClr w14:val="tx1"/>
            </w14:solidFill>
          </w14:textFill>
        </w:rPr>
        <w:br w:type="page"/>
      </w:r>
    </w:p>
    <w:p>
      <w:pPr>
        <w:pStyle w:val="2"/>
      </w:pPr>
      <w:bookmarkStart w:id="9" w:name="_Toc15992"/>
      <w:bookmarkStart w:id="10" w:name="_Toc135926836"/>
      <w:r>
        <w:rPr>
          <w:rFonts w:hint="eastAsia"/>
        </w:rPr>
        <w:t>第二部分</w:t>
      </w:r>
      <w:r>
        <w:t xml:space="preserve"> </w:t>
      </w:r>
      <w:r>
        <w:rPr>
          <w:rFonts w:hint="eastAsia"/>
        </w:rPr>
        <w:t>投标人须知</w:t>
      </w:r>
      <w:bookmarkEnd w:id="9"/>
      <w:bookmarkEnd w:id="10"/>
    </w:p>
    <w:p>
      <w:pPr>
        <w:pStyle w:val="3"/>
        <w:rPr>
          <w:rFonts w:ascii="Times New Roman" w:hAnsi="Times New Roman"/>
          <w:color w:val="000000" w:themeColor="text1"/>
          <w14:textFill>
            <w14:solidFill>
              <w14:schemeClr w14:val="tx1"/>
            </w14:solidFill>
          </w14:textFill>
        </w:rPr>
      </w:pPr>
      <w:bookmarkStart w:id="11" w:name="_Toc3054"/>
      <w:bookmarkStart w:id="12" w:name="_Toc135926837"/>
      <w:r>
        <w:rPr>
          <w:rFonts w:hint="eastAsia" w:ascii="Times New Roman" w:hAnsi="Times New Roman"/>
          <w:color w:val="000000" w:themeColor="text1"/>
          <w14:textFill>
            <w14:solidFill>
              <w14:schemeClr w14:val="tx1"/>
            </w14:solidFill>
          </w14:textFill>
        </w:rPr>
        <w:t>一、单一来源采购文件</w:t>
      </w:r>
      <w:bookmarkEnd w:id="11"/>
      <w:bookmarkEnd w:id="1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本单一来源采购文件中的采购人、投标人、中标人分别指：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）投标人指响应单一来源采购并具备相应资质的参与投标的制造（厂）商、代理商。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单一来源采购文件的组成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本单一来源采购文件由下列部分组成：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）单一来源采购公告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）采购项目要求及相关说明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）商务条款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单一来源采购文件的澄清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单一来源采购文件的某些内容有疑问，应在投标截止时间3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单一来源采购文件的补充和修改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）采购人有权在投标截止时间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日前对单一来源采购文件进行补充和修改，补充和修改的内容在南通大学招投标信息网站上公开发布。补充和修改的内容作为单一来源采购文件的组成部分，对投标人具有同等约束作用。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）如单一来源采购文件的补充和修改对投标人准备投标的时间有影响，采购人有权决定推迟投标截止时间和开标时间。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3"/>
        <w:rPr>
          <w:rFonts w:ascii="Times New Roman" w:hAnsi="Times New Roman"/>
          <w:color w:val="000000" w:themeColor="text1"/>
          <w14:textFill>
            <w14:solidFill>
              <w14:schemeClr w14:val="tx1"/>
            </w14:solidFill>
          </w14:textFill>
        </w:rPr>
      </w:pPr>
      <w:bookmarkStart w:id="13" w:name="_Toc20616"/>
      <w:bookmarkStart w:id="14" w:name="_Toc135926838"/>
      <w:r>
        <w:rPr>
          <w:rFonts w:hint="eastAsia" w:ascii="Times New Roman" w:hAnsi="Times New Roman"/>
          <w:color w:val="000000" w:themeColor="text1"/>
          <w14:textFill>
            <w14:solidFill>
              <w14:schemeClr w14:val="tx1"/>
            </w14:solidFill>
          </w14:textFill>
        </w:rPr>
        <w:t>二、投标文件</w:t>
      </w:r>
      <w:bookmarkEnd w:id="13"/>
      <w:bookmarkEnd w:id="14"/>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（1）投标函（格式见附件1）</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（2）投标报价表（格式见附件2）</w:t>
      </w:r>
    </w:p>
    <w:p>
      <w:pPr>
        <w:pStyle w:val="46"/>
        <w:spacing w:line="360" w:lineRule="auto"/>
        <w:ind w:left="120" w:firstLine="361" w:firstLineChars="150"/>
        <w:rPr>
          <w:color w:val="000000" w:themeColor="text1"/>
          <w:sz w:val="24"/>
          <w14:textFill>
            <w14:solidFill>
              <w14:schemeClr w14:val="tx1"/>
            </w14:solidFill>
          </w14:textFill>
        </w:rPr>
      </w:pPr>
      <w:r>
        <w:rPr>
          <w:b/>
          <w:color w:val="000000" w:themeColor="text1"/>
          <w:sz w:val="24"/>
          <w14:textFill>
            <w14:solidFill>
              <w14:schemeClr w14:val="tx1"/>
            </w14:solidFill>
          </w14:textFill>
        </w:rPr>
        <w:t>技术文件</w:t>
      </w:r>
      <w:r>
        <w:rPr>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w:t>
      </w:r>
      <w:r>
        <w:rPr>
          <w:color w:val="000000" w:themeColor="text1"/>
          <w:sz w:val="24"/>
          <w14:textFill>
            <w14:solidFill>
              <w14:schemeClr w14:val="tx1"/>
            </w14:solidFill>
          </w14:textFill>
        </w:rPr>
        <w:t>（格式见附件</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（2）商务条款响应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偏离表（格式见附件4）</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）售后服务承诺书或技术协议书</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）投标人2021年</w:t>
      </w:r>
      <w:r>
        <w:rPr>
          <w:rFonts w:hint="eastAsia"/>
          <w:color w:val="000000" w:themeColor="text1"/>
          <w:sz w:val="24"/>
          <w14:textFill>
            <w14:solidFill>
              <w14:schemeClr w14:val="tx1"/>
            </w14:solidFill>
          </w14:textFill>
        </w:rPr>
        <w:t>1月</w:t>
      </w:r>
      <w:r>
        <w:rPr>
          <w:color w:val="000000" w:themeColor="text1"/>
          <w:sz w:val="24"/>
          <w14:textFill>
            <w14:solidFill>
              <w14:schemeClr w14:val="tx1"/>
            </w14:solidFill>
          </w14:textFill>
        </w:rPr>
        <w:t>以来与本次招标</w:t>
      </w:r>
      <w:r>
        <w:rPr>
          <w:rFonts w:hint="eastAsia"/>
          <w:color w:val="000000" w:themeColor="text1"/>
          <w:sz w:val="24"/>
          <w14:textFill>
            <w14:solidFill>
              <w14:schemeClr w14:val="tx1"/>
            </w14:solidFill>
          </w14:textFill>
        </w:rPr>
        <w:t>项目相似</w:t>
      </w:r>
      <w:r>
        <w:rPr>
          <w:color w:val="000000" w:themeColor="text1"/>
          <w:sz w:val="24"/>
          <w14:textFill>
            <w14:solidFill>
              <w14:schemeClr w14:val="tx1"/>
            </w14:solidFill>
          </w14:textFill>
        </w:rPr>
        <w:t>的销售业绩（合同复印件，</w:t>
      </w:r>
      <w:r>
        <w:rPr>
          <w:b/>
          <w:color w:val="000000" w:themeColor="text1"/>
          <w:sz w:val="24"/>
          <w14:textFill>
            <w14:solidFill>
              <w14:schemeClr w14:val="tx1"/>
            </w14:solidFill>
          </w14:textFill>
        </w:rPr>
        <w:t>不要隐去任何内容</w:t>
      </w:r>
      <w:r>
        <w:rPr>
          <w:rFonts w:hint="eastAsia"/>
          <w:b/>
          <w:color w:val="000000" w:themeColor="text1"/>
          <w:sz w:val="24"/>
          <w14:textFill>
            <w14:solidFill>
              <w14:schemeClr w14:val="tx1"/>
            </w14:solidFill>
          </w14:textFill>
        </w:rPr>
        <w:t>，</w:t>
      </w:r>
      <w:r>
        <w:rPr>
          <w:color w:val="000000" w:themeColor="text1"/>
          <w:sz w:val="24"/>
          <w14:textFill>
            <w14:solidFill>
              <w14:schemeClr w14:val="tx1"/>
            </w14:solidFill>
          </w14:textFill>
        </w:rPr>
        <w:t>原件备查）</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）投标货物授权书（免税货物须提供）、宣传彩页、合格文件、</w:t>
      </w:r>
      <w:r>
        <w:rPr>
          <w:color w:val="000000" w:themeColor="text1"/>
          <w:sz w:val="24"/>
          <w14:textFill>
            <w14:solidFill>
              <w14:schemeClr w14:val="tx1"/>
            </w14:solidFill>
          </w14:textFill>
        </w:rPr>
        <w:t>质量标准认证书</w:t>
      </w:r>
      <w:r>
        <w:rPr>
          <w:rFonts w:hint="eastAsia"/>
          <w:color w:val="000000" w:themeColor="text1"/>
          <w:sz w:val="24"/>
          <w14:textFill>
            <w14:solidFill>
              <w14:schemeClr w14:val="tx1"/>
            </w14:solidFill>
          </w14:textFill>
        </w:rPr>
        <w:t>、技术资料等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）招标文件中要求提供的其他材料；</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资格证明文件： </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（1）营业执照复印件（复印件加盖单位公章）</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（2）法定代表人资格证明（格式见附件</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（3）法定代表人授权书（格式见附件</w:t>
      </w: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w:t>
      </w:r>
      <w:r>
        <w:rPr>
          <w:rFonts w:hint="eastAsia"/>
          <w:sz w:val="24"/>
        </w:rPr>
        <w:t>（法人代表直接参加投标和签署投标文件的无需提供该授权书）</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4</w:t>
      </w: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无重大违法记录声明（见附件8）</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w:t>
      </w:r>
      <w:r>
        <w:rPr>
          <w:rFonts w:cs="宋体"/>
          <w:color w:val="000000" w:themeColor="text1"/>
          <w:sz w:val="24"/>
          <w14:textFill>
            <w14:solidFill>
              <w14:schemeClr w14:val="tx1"/>
            </w14:solidFill>
          </w14:textFill>
        </w:rPr>
        <w:t>5</w:t>
      </w:r>
      <w:r>
        <w:rPr>
          <w:rFonts w:hint="eastAsia" w:cs="宋体"/>
          <w:color w:val="000000" w:themeColor="text1"/>
          <w:sz w:val="24"/>
          <w14:textFill>
            <w14:solidFill>
              <w14:schemeClr w14:val="tx1"/>
            </w14:solidFill>
          </w14:textFill>
        </w:rPr>
        <w:t>）诚信承诺书（见附件</w:t>
      </w:r>
      <w:r>
        <w:rPr>
          <w:rFonts w:cs="宋体"/>
          <w:color w:val="000000" w:themeColor="text1"/>
          <w:sz w:val="24"/>
          <w14:textFill>
            <w14:solidFill>
              <w14:schemeClr w14:val="tx1"/>
            </w14:solidFill>
          </w14:textFill>
        </w:rPr>
        <w:t>9</w:t>
      </w:r>
      <w:r>
        <w:rPr>
          <w:rFonts w:hint="eastAsia" w:cs="宋体"/>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以上资格证明文件的复印件均需加盖投标人公章</w:t>
      </w:r>
      <w:r>
        <w:rPr>
          <w:rFonts w:hint="eastAsia"/>
          <w:b/>
          <w:color w:val="000000" w:themeColor="text1"/>
          <w:sz w:val="24"/>
          <w14:textFill>
            <w14:solidFill>
              <w14:schemeClr w14:val="tx1"/>
            </w14:solidFill>
          </w14:textFill>
        </w:rPr>
        <w:t>，原件备查</w:t>
      </w:r>
      <w:r>
        <w:rPr>
          <w:b/>
          <w:color w:val="000000" w:themeColor="text1"/>
          <w:sz w:val="24"/>
          <w14:textFill>
            <w14:solidFill>
              <w14:schemeClr w14:val="tx1"/>
            </w14:solidFill>
          </w14:textFill>
        </w:rPr>
        <w:t>。</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360" w:lineRule="auto"/>
        <w:ind w:firstLine="482" w:firstLineChars="200"/>
        <w:rPr>
          <w:rFonts w:eastAsia="黑体"/>
          <w:b/>
          <w:color w:val="000000" w:themeColor="text1"/>
          <w:sz w:val="24"/>
          <w14:textFill>
            <w14:solidFill>
              <w14:schemeClr w14:val="tx1"/>
            </w14:solidFill>
          </w14:textFill>
        </w:rPr>
      </w:pPr>
      <w:r>
        <w:rPr>
          <w:rFonts w:hint="eastAsia" w:eastAsia="黑体"/>
          <w:b/>
          <w:color w:val="000000" w:themeColor="text1"/>
          <w:sz w:val="24"/>
          <w14:textFill>
            <w14:solidFill>
              <w14:schemeClr w14:val="tx1"/>
            </w14:solidFill>
          </w14:textFill>
        </w:rPr>
        <w:t>（2）商务文件（报价）、技术文件和资格证明文件须分开独立包装，即：分别装在三个纸袋里。</w:t>
      </w:r>
    </w:p>
    <w:p>
      <w:pPr>
        <w:spacing w:line="360" w:lineRule="auto"/>
        <w:ind w:firstLine="482" w:firstLineChars="200"/>
        <w:rPr>
          <w:color w:val="000000" w:themeColor="text1"/>
          <w:sz w:val="24"/>
          <w14:textFill>
            <w14:solidFill>
              <w14:schemeClr w14:val="tx1"/>
            </w14:solidFill>
          </w14:textFill>
        </w:rPr>
      </w:pPr>
      <w:r>
        <w:rPr>
          <w:rFonts w:hint="eastAsia" w:eastAsia="黑体"/>
          <w:b/>
          <w:color w:val="000000" w:themeColor="text1"/>
          <w:sz w:val="24"/>
          <w14:textFill>
            <w14:solidFill>
              <w14:schemeClr w14:val="tx1"/>
            </w14:solidFill>
          </w14:textFill>
        </w:rPr>
        <w:t>（</w:t>
      </w:r>
      <w:r>
        <w:rPr>
          <w:rFonts w:eastAsia="黑体"/>
          <w:b/>
          <w:color w:val="000000" w:themeColor="text1"/>
          <w:sz w:val="24"/>
          <w14:textFill>
            <w14:solidFill>
              <w14:schemeClr w14:val="tx1"/>
            </w14:solidFill>
          </w14:textFill>
        </w:rPr>
        <w:t>3</w:t>
      </w:r>
      <w:r>
        <w:rPr>
          <w:rFonts w:hint="eastAsia" w:eastAsia="黑体"/>
          <w:b/>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pStyle w:val="3"/>
        <w:rPr>
          <w:rFonts w:ascii="Times New Roman" w:hAnsi="Times New Roman"/>
          <w:color w:val="000000" w:themeColor="text1"/>
          <w14:textFill>
            <w14:solidFill>
              <w14:schemeClr w14:val="tx1"/>
            </w14:solidFill>
          </w14:textFill>
        </w:rPr>
      </w:pPr>
      <w:bookmarkStart w:id="15" w:name="_Toc30907"/>
      <w:bookmarkStart w:id="16" w:name="_Toc135926839"/>
      <w:r>
        <w:rPr>
          <w:rFonts w:hint="eastAsia" w:ascii="Times New Roman" w:hAnsi="Times New Roman"/>
          <w:color w:val="000000" w:themeColor="text1"/>
          <w14:textFill>
            <w14:solidFill>
              <w14:schemeClr w14:val="tx1"/>
            </w14:solidFill>
          </w14:textFill>
        </w:rPr>
        <w:t>三、投标细则</w:t>
      </w:r>
      <w:bookmarkEnd w:id="15"/>
      <w:bookmarkEnd w:id="16"/>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投标项目</w:t>
      </w:r>
    </w:p>
    <w:p>
      <w:pPr>
        <w:spacing w:line="360" w:lineRule="auto"/>
        <w:ind w:firstLine="470" w:firstLineChars="196"/>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投标货物必须是全新、未使用过的原装合格正品，不低于招标文件规定的规格、性能和质量的要求，达到国家或行业规定的标准，属于国家强制认证的产品必须通过认证。</w:t>
      </w:r>
    </w:p>
    <w:p>
      <w:pPr>
        <w:spacing w:line="360" w:lineRule="auto"/>
        <w:ind w:firstLine="472" w:firstLineChars="196"/>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2</w:t>
      </w:r>
      <w:r>
        <w:rPr>
          <w:rFonts w:ascii="宋体" w:hAnsi="宋体"/>
          <w:b/>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投标报价</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）投标总价应是完税后的用户地交货价，其中应包含运输、搬运、安装调试、保修等全部费用，并</w:t>
      </w:r>
      <w:r>
        <w:rPr>
          <w:rFonts w:hint="eastAsia"/>
          <w:color w:val="000000" w:themeColor="text1"/>
          <w:sz w:val="24"/>
          <w14:textFill>
            <w14:solidFill>
              <w14:schemeClr w14:val="tx1"/>
            </w14:solidFill>
          </w14:textFill>
        </w:rPr>
        <w:t>以人民币报价</w:t>
      </w:r>
      <w:r>
        <w:rPr>
          <w:rFonts w:hint="eastAsia" w:ascii="宋体" w:hAnsi="宋体"/>
          <w:color w:val="000000" w:themeColor="text1"/>
          <w:sz w:val="24"/>
          <w14:textFill>
            <w14:solidFill>
              <w14:schemeClr w14:val="tx1"/>
            </w14:solidFill>
          </w14:textFill>
        </w:rPr>
        <w:t>。</w:t>
      </w:r>
    </w:p>
    <w:p>
      <w:pPr>
        <w:spacing w:line="360" w:lineRule="auto"/>
        <w:ind w:firstLine="470" w:firstLineChars="196"/>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w:t>
      </w: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lang w:val="zh-CN"/>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）投标人应仔细阅读单一来源采购文件的所有内容并做出实质性的响应，同时按单一来源采购文件规定的要求和格式，提交完整的投标文件。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w:t>
      </w:r>
      <w:r>
        <w:rPr>
          <w:rFonts w:hint="eastAsia" w:cs="宋体"/>
          <w:color w:val="000000" w:themeColor="text1"/>
          <w:spacing w:val="2"/>
          <w:kern w:val="0"/>
          <w:sz w:val="24"/>
          <w14:textFill>
            <w14:solidFill>
              <w14:schemeClr w14:val="tx1"/>
            </w14:solidFill>
          </w14:textFill>
        </w:rPr>
        <w:t>指定地点</w:t>
      </w:r>
      <w:r>
        <w:rPr>
          <w:rFonts w:hint="eastAsia"/>
          <w:color w:val="000000" w:themeColor="text1"/>
          <w:sz w:val="24"/>
          <w14:textFill>
            <w14:solidFill>
              <w14:schemeClr w14:val="tx1"/>
            </w14:solidFill>
          </w14:textFill>
        </w:rPr>
        <w:t>，</w:t>
      </w:r>
      <w:r>
        <w:rPr>
          <w:rFonts w:hint="eastAsia" w:eastAsia="黑体"/>
          <w:b/>
          <w:color w:val="000000" w:themeColor="text1"/>
          <w:sz w:val="24"/>
          <w14:textFill>
            <w14:solidFill>
              <w14:schemeClr w14:val="tx1"/>
            </w14:solidFill>
          </w14:textFill>
        </w:rPr>
        <w:t>逾期送达或未送达指定地点以及未按采购文件要求密封的投标文件，潜在投标人须自行承担相应风险。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）采购人不接受电报、电话、传真及电子邮件投标。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pStyle w:val="3"/>
        <w:rPr>
          <w:rFonts w:ascii="Times New Roman" w:hAnsi="Times New Roman"/>
          <w:color w:val="000000" w:themeColor="text1"/>
          <w14:textFill>
            <w14:solidFill>
              <w14:schemeClr w14:val="tx1"/>
            </w14:solidFill>
          </w14:textFill>
        </w:rPr>
      </w:pPr>
      <w:bookmarkStart w:id="17" w:name="_Toc135926840"/>
      <w:bookmarkStart w:id="18" w:name="_Toc26446"/>
      <w:r>
        <w:rPr>
          <w:rFonts w:hint="eastAsia" w:ascii="Times New Roman" w:hAnsi="Times New Roman"/>
          <w:color w:val="000000" w:themeColor="text1"/>
          <w14:textFill>
            <w14:solidFill>
              <w14:schemeClr w14:val="tx1"/>
            </w14:solidFill>
          </w14:textFill>
        </w:rPr>
        <w:t>四、谈判</w:t>
      </w:r>
      <w:bookmarkEnd w:id="17"/>
      <w:bookmarkEnd w:id="18"/>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4.1.</w:t>
      </w:r>
      <w:r>
        <w:rPr>
          <w:rFonts w:hint="eastAsia"/>
          <w:color w:val="000000" w:themeColor="text1"/>
          <w14:textFill>
            <w14:solidFill>
              <w14:schemeClr w14:val="tx1"/>
            </w14:solidFill>
          </w14:textFill>
        </w:rPr>
        <w:t xml:space="preserve"> </w:t>
      </w:r>
      <w:r>
        <w:rPr>
          <w:rFonts w:hint="eastAsia"/>
          <w:color w:val="000000" w:themeColor="text1"/>
          <w:sz w:val="24"/>
          <w14:textFill>
            <w14:solidFill>
              <w14:schemeClr w14:val="tx1"/>
            </w14:solidFill>
          </w14:textFill>
        </w:rPr>
        <w:t>采购人按规定的时间和地点进行开评标，</w:t>
      </w:r>
      <w:r>
        <w:rPr>
          <w:rFonts w:hint="eastAsia"/>
          <w:b/>
          <w:color w:val="000000" w:themeColor="text1"/>
          <w:sz w:val="24"/>
          <w14:textFill>
            <w14:solidFill>
              <w14:schemeClr w14:val="tx1"/>
            </w14:solidFill>
          </w14:textFill>
        </w:rPr>
        <w:t>投标人代表须在开标当日保持手机畅通。</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color w:val="000000" w:themeColor="text1"/>
          <w:sz w:val="24"/>
          <w:lang w:val="zh-CN"/>
          <w14:textFill>
            <w14:solidFill>
              <w14:schemeClr w14:val="tx1"/>
            </w14:solidFill>
          </w14:textFill>
        </w:rPr>
        <w:t>有关技术、经济方面的</w:t>
      </w:r>
      <w:r>
        <w:rPr>
          <w:rFonts w:hint="eastAsia"/>
          <w:color w:val="000000" w:themeColor="text1"/>
          <w:sz w:val="24"/>
          <w14:textFill>
            <w14:solidFill>
              <w14:schemeClr w14:val="tx1"/>
            </w14:solidFill>
          </w14:textFill>
        </w:rPr>
        <w:t>专家组成谈判小组进行谈判。</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4.3. </w:t>
      </w:r>
      <w:r>
        <w:rPr>
          <w:rFonts w:hint="eastAsia"/>
          <w:color w:val="000000" w:themeColor="text1"/>
          <w:sz w:val="24"/>
          <w14:textFill>
            <w14:solidFill>
              <w14:schemeClr w14:val="tx1"/>
            </w14:solidFill>
          </w14:textFill>
        </w:rPr>
        <w:t>在单一来源采购之前，采购人和评委要对投标人的投标资格以及投标是否对单一来源采购文件的实质性要求和条件做出响应进行审查。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4.4. </w:t>
      </w:r>
      <w:r>
        <w:rPr>
          <w:rFonts w:hint="eastAsia"/>
          <w:color w:val="000000" w:themeColor="text1"/>
          <w:sz w:val="24"/>
          <w14:textFill>
            <w14:solidFill>
              <w14:schemeClr w14:val="tx1"/>
            </w14:solidFill>
          </w14:textFill>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投标文件出现（但不限于）下列情况之一的，由单一来源谈判小组评审后作无效投标或废标处理：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不具备单一来源采购文件规定的资格条件及未按单一来源采购文件规定的要求提供资格证明文件的；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）重要技术指标和参数不满足单一来源采购要求的；</w:t>
      </w:r>
    </w:p>
    <w:p>
      <w:pPr>
        <w:tabs>
          <w:tab w:val="left" w:pos="525"/>
          <w:tab w:val="left" w:pos="1050"/>
        </w:tabs>
        <w:spacing w:line="353" w:lineRule="auto"/>
        <w:ind w:left="1" w:firstLine="480" w:firstLineChars="200"/>
        <w:rPr>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）其它未对单一来源采购文件实质性要求和条件作出响应的；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）有损害采购人和用户利益的规定的。</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4.6. </w:t>
      </w:r>
      <w:r>
        <w:rPr>
          <w:rFonts w:hint="eastAsia"/>
          <w:color w:val="000000" w:themeColor="text1"/>
          <w:sz w:val="24"/>
          <w14:textFill>
            <w14:solidFill>
              <w14:schemeClr w14:val="tx1"/>
            </w14:solidFill>
          </w14:textFill>
        </w:rPr>
        <w:t>单一来源谈判小组认为有必要时，将要求投标人述标或对投标文件中某些内容作出澄清或说明，但不接受投标人主动提出的澄清和说明。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4.7. </w:t>
      </w:r>
      <w:r>
        <w:rPr>
          <w:rFonts w:hint="eastAsia"/>
          <w:color w:val="000000" w:themeColor="text1"/>
          <w:sz w:val="24"/>
          <w14:textFill>
            <w14:solidFill>
              <w14:schemeClr w14:val="tx1"/>
            </w14:solidFill>
          </w14:textFill>
        </w:rPr>
        <w:t>单一来源谈判小组将从投标人的投标报价、产品质量、技术方案、售后服务、企业状况等经济、技术和商务及其他优惠条件等方面，依据评判标准，对所有投标文件进行综合评审。</w:t>
      </w:r>
    </w:p>
    <w:p>
      <w:pPr>
        <w:pStyle w:val="3"/>
        <w:rPr>
          <w:rFonts w:ascii="Times New Roman" w:hAnsi="Times New Roman"/>
          <w:color w:val="000000" w:themeColor="text1"/>
          <w14:textFill>
            <w14:solidFill>
              <w14:schemeClr w14:val="tx1"/>
            </w14:solidFill>
          </w14:textFill>
        </w:rPr>
      </w:pPr>
      <w:bookmarkStart w:id="19" w:name="_Toc19067"/>
      <w:bookmarkStart w:id="20" w:name="_Toc135926841"/>
      <w:r>
        <w:rPr>
          <w:rFonts w:hint="eastAsia" w:ascii="Times New Roman" w:hAnsi="Times New Roman"/>
          <w:color w:val="000000" w:themeColor="text1"/>
          <w14:textFill>
            <w14:solidFill>
              <w14:schemeClr w14:val="tx1"/>
            </w14:solidFill>
          </w14:textFill>
        </w:rPr>
        <w:t>五、合同的签订</w:t>
      </w:r>
      <w:bookmarkEnd w:id="19"/>
      <w:bookmarkEnd w:id="20"/>
    </w:p>
    <w:p>
      <w:pPr>
        <w:spacing w:line="360" w:lineRule="auto"/>
        <w:ind w:right="-4" w:rightChars="-2" w:firstLine="475" w:firstLineChars="197"/>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s="宋体"/>
          <w:color w:val="000000" w:themeColor="text1"/>
          <w:kern w:val="0"/>
          <w:sz w:val="24"/>
          <w14:textFill>
            <w14:solidFill>
              <w14:schemeClr w14:val="tx1"/>
            </w14:solidFill>
          </w14:textFill>
        </w:rPr>
        <w:t>中标人确定后，采购人将通过学校招标网公示1天，公示期满无异议，中标人应在30日内与采购人签订采购合同，过期视为放弃中标。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s="宋体"/>
          <w:color w:val="000000" w:themeColor="text1"/>
          <w:kern w:val="0"/>
          <w:sz w:val="24"/>
          <w14:textFill>
            <w14:solidFill>
              <w14:schemeClr w14:val="tx1"/>
            </w14:solidFill>
          </w14:textFill>
        </w:rPr>
        <w:t>本单一来源采购文件和中标人的投标文件包括中标人所做出的各种书面承诺将作为采购人与中标人双方签订合同的依据，并作为合同的附件与合同具有同等法律效力。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如投标人中标后悔标，采购人将取消该投标人本次中标资格及今后两年内的投标资格。</w:t>
      </w:r>
    </w:p>
    <w:p>
      <w:pPr>
        <w:pStyle w:val="3"/>
        <w:rPr>
          <w:rFonts w:ascii="Times New Roman" w:hAnsi="Times New Roman"/>
          <w:color w:val="000000" w:themeColor="text1"/>
          <w14:textFill>
            <w14:solidFill>
              <w14:schemeClr w14:val="tx1"/>
            </w14:solidFill>
          </w14:textFill>
        </w:rPr>
      </w:pPr>
      <w:bookmarkStart w:id="21" w:name="_Toc135926842"/>
      <w:bookmarkStart w:id="22" w:name="_Toc9974"/>
      <w:r>
        <w:rPr>
          <w:rFonts w:hint="eastAsia" w:ascii="Times New Roman" w:hAnsi="Times New Roman"/>
          <w:color w:val="000000" w:themeColor="text1"/>
          <w14:textFill>
            <w14:solidFill>
              <w14:schemeClr w14:val="tx1"/>
            </w14:solidFill>
          </w14:textFill>
        </w:rPr>
        <w:t>六、其他</w:t>
      </w:r>
      <w:bookmarkEnd w:id="21"/>
      <w:bookmarkEnd w:id="22"/>
    </w:p>
    <w:p>
      <w:pPr>
        <w:spacing w:line="360" w:lineRule="auto"/>
        <w:ind w:firstLine="482" w:firstLineChars="200"/>
        <w:rPr>
          <w:b/>
          <w:color w:val="000000" w:themeColor="text1"/>
          <w:spacing w:val="4"/>
          <w:sz w:val="44"/>
          <w:szCs w:val="44"/>
          <w14:textFill>
            <w14:solidFill>
              <w14:schemeClr w14:val="tx1"/>
            </w14:solidFill>
          </w14:textFill>
        </w:rPr>
      </w:pPr>
      <w:r>
        <w:rPr>
          <w:rFonts w:hint="eastAsia" w:eastAsia="黑体"/>
          <w:b/>
          <w:color w:val="000000" w:themeColor="text1"/>
          <w:sz w:val="24"/>
          <w14:textFill>
            <w14:solidFill>
              <w14:schemeClr w14:val="tx1"/>
            </w14:solidFill>
          </w14:textFill>
        </w:rPr>
        <w:t>6</w:t>
      </w:r>
      <w:r>
        <w:rPr>
          <w:rFonts w:eastAsia="黑体"/>
          <w:b/>
          <w:color w:val="000000" w:themeColor="text1"/>
          <w:sz w:val="24"/>
          <w14:textFill>
            <w14:solidFill>
              <w14:schemeClr w14:val="tx1"/>
            </w14:solidFill>
          </w14:textFill>
        </w:rPr>
        <w:t xml:space="preserve">.1. </w:t>
      </w:r>
      <w:r>
        <w:rPr>
          <w:rFonts w:hint="eastAsia" w:eastAsia="黑体"/>
          <w:b/>
          <w:color w:val="000000" w:themeColor="text1"/>
          <w:sz w:val="24"/>
          <w14:textFill>
            <w14:solidFill>
              <w14:schemeClr w14:val="tx1"/>
            </w14:solidFill>
          </w14:textFill>
        </w:rPr>
        <w:t>投标人无论中标与否，采购人不承担投标人参加投标的任何费用。</w:t>
      </w:r>
    </w:p>
    <w:p>
      <w:pPr>
        <w:pStyle w:val="2"/>
        <w:rPr>
          <w:sz w:val="24"/>
        </w:rPr>
      </w:pPr>
      <w:r>
        <w:rPr>
          <w:spacing w:val="4"/>
        </w:rPr>
        <w:br w:type="page"/>
      </w:r>
      <w:bookmarkStart w:id="23" w:name="_Toc1905"/>
      <w:bookmarkStart w:id="24" w:name="_Toc135926843"/>
      <w:r>
        <w:rPr>
          <w:rFonts w:hint="eastAsia"/>
          <w:spacing w:val="4"/>
        </w:rPr>
        <w:t>第三部分</w:t>
      </w:r>
      <w:r>
        <w:rPr>
          <w:spacing w:val="4"/>
        </w:rPr>
        <w:t xml:space="preserve"> </w:t>
      </w:r>
      <w:r>
        <w:rPr>
          <w:rFonts w:hint="eastAsia"/>
        </w:rPr>
        <w:t>采购项目要求及相关说明</w:t>
      </w:r>
      <w:bookmarkEnd w:id="23"/>
      <w:bookmarkEnd w:id="24"/>
    </w:p>
    <w:p>
      <w:pPr>
        <w:pStyle w:val="2"/>
        <w:spacing w:line="276" w:lineRule="auto"/>
        <w:jc w:val="left"/>
      </w:pPr>
      <w:bookmarkStart w:id="25" w:name="_Toc135926844"/>
      <w:r>
        <w:rPr>
          <w:rFonts w:hint="eastAsia"/>
        </w:rPr>
        <w:t>1</w:t>
      </w:r>
      <w:r>
        <w:t>.服务目标</w:t>
      </w:r>
    </w:p>
    <w:p>
      <w:pPr>
        <w:spacing w:line="276" w:lineRule="auto"/>
        <w:ind w:firstLine="420"/>
        <w:jc w:val="left"/>
      </w:pPr>
      <w:r>
        <w:t>本次项目将围绕</w:t>
      </w:r>
      <w:r>
        <w:rPr>
          <w:rFonts w:hint="eastAsia"/>
        </w:rPr>
        <w:t>我校辅导员的学生教育管理工作</w:t>
      </w:r>
      <w:r>
        <w:t>进行我校下一步的信息化建设，为</w:t>
      </w:r>
      <w:r>
        <w:rPr>
          <w:rFonts w:hint="eastAsia"/>
        </w:rPr>
        <w:t>促进辅导员在教育管理工作上的良性发展，实现高校管理信息化目标，学生管理信息化建设势在必行。</w:t>
      </w:r>
      <w:r>
        <w:t>通过信息化的先进手段提升学校在</w:t>
      </w:r>
      <w:r>
        <w:rPr>
          <w:rFonts w:hint="eastAsia"/>
        </w:rPr>
        <w:t>辅导员日常工作</w:t>
      </w:r>
      <w:r>
        <w:t>的管理效率和服务水平。具体目标细化为：</w:t>
      </w:r>
    </w:p>
    <w:p>
      <w:pPr>
        <w:spacing w:line="276" w:lineRule="auto"/>
        <w:ind w:firstLine="420"/>
        <w:jc w:val="left"/>
      </w:pPr>
      <w:r>
        <w:t>基于</w:t>
      </w:r>
      <w:r>
        <w:rPr>
          <w:rFonts w:hint="eastAsia"/>
        </w:rPr>
        <w:t>包括移动端、PC端在内的</w:t>
      </w:r>
      <w:r>
        <w:t>统一的</w:t>
      </w:r>
      <w:r>
        <w:rPr>
          <w:rFonts w:hint="eastAsia"/>
        </w:rPr>
        <w:t>辅导员办公协作服务</w:t>
      </w:r>
      <w:r>
        <w:t>提供技术服务，使</w:t>
      </w:r>
      <w:r>
        <w:rPr>
          <w:rFonts w:hint="eastAsia"/>
        </w:rPr>
        <w:t>辅导员</w:t>
      </w:r>
      <w:r>
        <w:t>业务相关的应用与信息化内容有统一的、</w:t>
      </w:r>
      <w:r>
        <w:rPr>
          <w:rFonts w:hint="eastAsia"/>
        </w:rPr>
        <w:t>便捷的</w:t>
      </w:r>
      <w:r>
        <w:t>获取、使用平台。</w:t>
      </w:r>
    </w:p>
    <w:p>
      <w:pPr>
        <w:spacing w:line="276" w:lineRule="auto"/>
        <w:ind w:firstLine="420"/>
        <w:jc w:val="left"/>
      </w:pPr>
      <w:r>
        <w:rPr>
          <w:rFonts w:hint="eastAsia"/>
        </w:rPr>
        <w:t>提供</w:t>
      </w:r>
      <w:r>
        <w:t>完整的</w:t>
      </w:r>
      <w:r>
        <w:rPr>
          <w:rFonts w:hint="eastAsia"/>
        </w:rPr>
        <w:t>辅导员</w:t>
      </w:r>
      <w:r>
        <w:t>应用服务，覆盖</w:t>
      </w:r>
      <w:r>
        <w:rPr>
          <w:rFonts w:hint="eastAsia"/>
        </w:rPr>
        <w:t>通知、活动报名、信息收集、签到、查寝、学生信息库、工作日志等</w:t>
      </w:r>
      <w:r>
        <w:t>信息化应用服务。</w:t>
      </w:r>
    </w:p>
    <w:p>
      <w:pPr>
        <w:spacing w:line="276" w:lineRule="auto"/>
        <w:ind w:firstLine="420"/>
        <w:jc w:val="left"/>
      </w:pPr>
      <w:r>
        <w:t>最终，使得</w:t>
      </w:r>
      <w:r>
        <w:rPr>
          <w:rFonts w:hint="eastAsia"/>
        </w:rPr>
        <w:t>辅导员能够减少重复工作，摆脱繁琐的日常工作，在学生思想政治教育方面投入更多的精力。</w:t>
      </w:r>
      <w:r>
        <w:t>从而</w:t>
      </w:r>
      <w:r>
        <w:rPr>
          <w:rFonts w:hint="eastAsia"/>
        </w:rPr>
        <w:t>推动我校的学生工作全面、协调和可持续发展。同时进一步提高全校的信息化水平。</w:t>
      </w:r>
    </w:p>
    <w:p>
      <w:pPr>
        <w:spacing w:line="276" w:lineRule="auto"/>
        <w:ind w:firstLine="420"/>
        <w:jc w:val="left"/>
      </w:pPr>
    </w:p>
    <w:p>
      <w:pPr>
        <w:pStyle w:val="2"/>
        <w:spacing w:line="276" w:lineRule="auto"/>
        <w:jc w:val="left"/>
      </w:pPr>
      <w:r>
        <w:rPr>
          <w:rFonts w:hint="eastAsia"/>
        </w:rPr>
        <w:t>2</w:t>
      </w:r>
      <w:r>
        <w:t>.</w:t>
      </w:r>
      <w:r>
        <w:rPr>
          <w:rFonts w:hint="eastAsia"/>
        </w:rPr>
        <w:t>服务总体技术要求</w:t>
      </w:r>
    </w:p>
    <w:p>
      <w:pPr>
        <w:spacing w:line="276" w:lineRule="auto"/>
        <w:ind w:firstLine="420"/>
        <w:jc w:val="left"/>
      </w:pPr>
      <w:r>
        <w:rPr>
          <w:rFonts w:hint="eastAsia"/>
        </w:rPr>
        <w:t>投标方提供给的辅导员办公协作服务技术服务，应满足如下总体服务内容或功能要求。</w:t>
      </w:r>
    </w:p>
    <w:p>
      <w:pPr>
        <w:spacing w:line="276" w:lineRule="auto"/>
        <w:ind w:firstLine="420"/>
        <w:jc w:val="left"/>
      </w:pPr>
      <w:r>
        <w:rPr>
          <w:rFonts w:hint="eastAsia"/>
        </w:rPr>
        <w:t>具体要求如下：</w:t>
      </w:r>
    </w:p>
    <w:p>
      <w:pPr>
        <w:pStyle w:val="43"/>
        <w:numPr>
          <w:ilvl w:val="0"/>
          <w:numId w:val="1"/>
        </w:numPr>
        <w:spacing w:line="276" w:lineRule="auto"/>
        <w:ind w:firstLineChars="0"/>
        <w:jc w:val="left"/>
      </w:pPr>
      <w:r>
        <w:t>系统可靠性：系统可靠性不低于 99.9%，即在连续运行1年时间里最多可能的业务中断时间不高于8.76小时。</w:t>
      </w:r>
    </w:p>
    <w:p>
      <w:pPr>
        <w:pStyle w:val="43"/>
        <w:numPr>
          <w:ilvl w:val="0"/>
          <w:numId w:val="1"/>
        </w:numPr>
        <w:spacing w:line="276" w:lineRule="auto"/>
        <w:ind w:firstLineChars="0"/>
        <w:jc w:val="left"/>
      </w:pPr>
      <w:r>
        <w:t>浏览器兼容性：系统在PC端提供的功能，需支持国内主流基于 Webkit 内核的浏览器（如360高速浏览器、搜狗浏览器等）、谷歌浏览器、火狐浏览器、 Safari 浏览器。</w:t>
      </w:r>
    </w:p>
    <w:p>
      <w:pPr>
        <w:pStyle w:val="43"/>
        <w:numPr>
          <w:ilvl w:val="0"/>
          <w:numId w:val="1"/>
        </w:numPr>
        <w:spacing w:line="276" w:lineRule="auto"/>
        <w:ind w:firstLineChars="0"/>
        <w:jc w:val="left"/>
      </w:pPr>
      <w:r>
        <w:t>手机兼容性:系统必须提供通过手机访问系统的方式，采用独立 App 方式，至少支持 iOS 和 Android 两种操作系统。</w:t>
      </w:r>
    </w:p>
    <w:p>
      <w:pPr>
        <w:pStyle w:val="43"/>
        <w:numPr>
          <w:ilvl w:val="0"/>
          <w:numId w:val="1"/>
        </w:numPr>
        <w:spacing w:line="276" w:lineRule="auto"/>
        <w:ind w:firstLineChars="0"/>
        <w:jc w:val="left"/>
      </w:pPr>
      <w:r>
        <w:t>桌面客户端：系统提供Windows与Mac OS环境下运行的桌面客户端程序，允许常驻系统任务栏，可随时唤起打开使用。客户端支持Windows7以及Mac OS 10.0以上版本的操作系统。</w:t>
      </w:r>
    </w:p>
    <w:p>
      <w:pPr>
        <w:spacing w:line="276" w:lineRule="auto"/>
        <w:jc w:val="left"/>
      </w:pPr>
    </w:p>
    <w:p>
      <w:pPr>
        <w:pStyle w:val="2"/>
        <w:spacing w:line="276" w:lineRule="auto"/>
        <w:jc w:val="left"/>
      </w:pPr>
      <w:r>
        <w:rPr>
          <w:rFonts w:hint="eastAsia"/>
        </w:rPr>
        <w:t>3</w:t>
      </w:r>
      <w:r>
        <w:t>.服务安全性要求</w:t>
      </w:r>
    </w:p>
    <w:p>
      <w:pPr>
        <w:pStyle w:val="43"/>
        <w:numPr>
          <w:ilvl w:val="0"/>
          <w:numId w:val="2"/>
        </w:numPr>
        <w:spacing w:line="276" w:lineRule="auto"/>
        <w:ind w:firstLineChars="0"/>
        <w:jc w:val="left"/>
      </w:pPr>
      <w:r>
        <w:t>要求服务提供良好的安全策略，包括物理安全、数据安全、应用安全以及运维安全等方面；</w:t>
      </w:r>
    </w:p>
    <w:p>
      <w:pPr>
        <w:pStyle w:val="43"/>
        <w:numPr>
          <w:ilvl w:val="0"/>
          <w:numId w:val="2"/>
        </w:numPr>
        <w:spacing w:line="276" w:lineRule="auto"/>
        <w:ind w:firstLineChars="0"/>
        <w:jc w:val="left"/>
      </w:pPr>
      <w:r>
        <w:t>要求服务提供与防火墙、IPS、杀毒软件、安全审计等安全设备对接的通用接口；</w:t>
      </w:r>
    </w:p>
    <w:p>
      <w:pPr>
        <w:pStyle w:val="43"/>
        <w:numPr>
          <w:ilvl w:val="0"/>
          <w:numId w:val="2"/>
        </w:numPr>
        <w:spacing w:line="276" w:lineRule="auto"/>
        <w:ind w:firstLineChars="0"/>
        <w:jc w:val="left"/>
      </w:pPr>
      <w:r>
        <w:t>建立完整的安全体系、安全应急响应机制，做好安全事故模拟演习，保障整个服务的安全与可靠。</w:t>
      </w:r>
    </w:p>
    <w:p>
      <w:pPr>
        <w:spacing w:line="276" w:lineRule="auto"/>
        <w:jc w:val="left"/>
      </w:pPr>
    </w:p>
    <w:p>
      <w:pPr>
        <w:pStyle w:val="2"/>
        <w:spacing w:line="276" w:lineRule="auto"/>
        <w:jc w:val="left"/>
      </w:pPr>
      <w:r>
        <w:rPr>
          <w:rFonts w:hint="eastAsia"/>
        </w:rPr>
        <w:t>4</w:t>
      </w:r>
      <w:r>
        <w:t>.</w:t>
      </w:r>
      <w:r>
        <w:rPr>
          <w:rFonts w:hint="eastAsia"/>
        </w:rPr>
        <w:t>支撑与保障服务要求</w:t>
      </w:r>
    </w:p>
    <w:p>
      <w:pPr>
        <w:pStyle w:val="3"/>
        <w:widowControl/>
        <w:numPr>
          <w:ilvl w:val="1"/>
          <w:numId w:val="0"/>
        </w:numPr>
        <w:tabs>
          <w:tab w:val="left" w:pos="432"/>
        </w:tabs>
        <w:spacing w:line="276" w:lineRule="auto"/>
        <w:jc w:val="left"/>
      </w:pPr>
      <w:r>
        <w:rPr>
          <w:rFonts w:hint="eastAsia"/>
        </w:rPr>
        <w:t>部署服务</w:t>
      </w:r>
    </w:p>
    <w:p>
      <w:pPr>
        <w:spacing w:line="276" w:lineRule="auto"/>
        <w:ind w:firstLine="420"/>
        <w:jc w:val="left"/>
      </w:pPr>
      <w:r>
        <w:t>本次招标辅导员办公协作服务技术服务部署所需的硬件、软件运行环境及第三方软件正版使用授权根据服务运行需求由中标方统一提供，学校不提供单独的支撑该产品运行的软件与硬件；</w:t>
      </w:r>
    </w:p>
    <w:p>
      <w:pPr>
        <w:spacing w:line="276" w:lineRule="auto"/>
        <w:ind w:firstLine="420"/>
        <w:jc w:val="left"/>
      </w:pPr>
      <w:r>
        <w:t>投标方中标后，需在合同签订后5个工作日内完成本次招标要求的软件服务部署工作并具备上线启动使用的条件。</w:t>
      </w:r>
    </w:p>
    <w:p>
      <w:pPr>
        <w:pStyle w:val="3"/>
        <w:widowControl/>
        <w:numPr>
          <w:ilvl w:val="1"/>
          <w:numId w:val="0"/>
        </w:numPr>
        <w:tabs>
          <w:tab w:val="left" w:pos="432"/>
        </w:tabs>
        <w:spacing w:line="276" w:lineRule="auto"/>
        <w:jc w:val="left"/>
      </w:pPr>
      <w:r>
        <w:rPr>
          <w:rFonts w:hint="eastAsia"/>
        </w:rPr>
        <w:t>短信与电话提醒服务</w:t>
      </w:r>
    </w:p>
    <w:p>
      <w:pPr>
        <w:spacing w:line="276" w:lineRule="auto"/>
        <w:ind w:firstLine="420"/>
        <w:jc w:val="left"/>
      </w:pPr>
      <w:r>
        <w:t>本次招标辅导员办公协作服务技术服务</w:t>
      </w:r>
      <w:r>
        <w:rPr>
          <w:rFonts w:hint="eastAsia"/>
        </w:rPr>
        <w:t>需由投标方随系统功能附赠短信与电话的免费额度，用于支持系统内短信与电话提醒功能的正常使用。</w:t>
      </w:r>
    </w:p>
    <w:p>
      <w:pPr>
        <w:spacing w:line="276" w:lineRule="auto"/>
        <w:ind w:firstLine="420"/>
        <w:jc w:val="left"/>
      </w:pPr>
      <w:r>
        <w:rPr>
          <w:rFonts w:hint="eastAsia"/>
        </w:rPr>
        <w:t>短信与电话的免费额度应支持至少1</w:t>
      </w:r>
      <w:r>
        <w:t>0</w:t>
      </w:r>
      <w:r>
        <w:rPr>
          <w:rFonts w:hint="eastAsia"/>
        </w:rPr>
        <w:t>万次短信提醒发送或3</w:t>
      </w:r>
      <w:r>
        <w:t>.33</w:t>
      </w:r>
      <w:r>
        <w:rPr>
          <w:rFonts w:hint="eastAsia"/>
        </w:rPr>
        <w:t>万次电话提醒发送，并在服务合同签署时明文约定最终赠予额度；</w:t>
      </w:r>
    </w:p>
    <w:p>
      <w:pPr>
        <w:spacing w:line="276" w:lineRule="auto"/>
        <w:ind w:firstLine="420"/>
        <w:jc w:val="left"/>
      </w:pPr>
      <w:r>
        <w:rPr>
          <w:rFonts w:hint="eastAsia"/>
        </w:rPr>
        <w:t>当我校赠予额度耗尽后，投标方提供的额外充值价格应不高于短信</w:t>
      </w:r>
      <w:r>
        <w:t>0.1</w:t>
      </w:r>
      <w:r>
        <w:rPr>
          <w:rFonts w:hint="eastAsia"/>
        </w:rPr>
        <w:t>元/条、电话每条不高于</w:t>
      </w:r>
      <w:r>
        <w:t>0.3</w:t>
      </w:r>
      <w:r>
        <w:rPr>
          <w:rFonts w:hint="eastAsia"/>
        </w:rPr>
        <w:t>元/条，且需在服务合同签署时明文约定额外充值规则与定价。</w:t>
      </w:r>
    </w:p>
    <w:p>
      <w:pPr>
        <w:spacing w:line="276" w:lineRule="auto"/>
        <w:ind w:firstLine="420"/>
        <w:jc w:val="left"/>
      </w:pPr>
      <w:r>
        <w:t>投标方中标后，需在合同签订后5个工作日内完成本次招标要求的</w:t>
      </w:r>
      <w:r>
        <w:rPr>
          <w:rFonts w:hint="eastAsia"/>
        </w:rPr>
        <w:t>提醒次数充值工作，并在本校</w:t>
      </w:r>
      <w:r>
        <w:t>辅导员办公协作服务技术服务</w:t>
      </w:r>
      <w:r>
        <w:rPr>
          <w:rFonts w:hint="eastAsia"/>
        </w:rPr>
        <w:t>系统内查看已充值完成的短信与电话额度。</w:t>
      </w:r>
    </w:p>
    <w:p>
      <w:pPr>
        <w:spacing w:line="276" w:lineRule="auto"/>
        <w:ind w:firstLine="420"/>
        <w:jc w:val="left"/>
      </w:pPr>
    </w:p>
    <w:p>
      <w:pPr>
        <w:pStyle w:val="3"/>
        <w:widowControl/>
        <w:numPr>
          <w:ilvl w:val="1"/>
          <w:numId w:val="0"/>
        </w:numPr>
        <w:tabs>
          <w:tab w:val="left" w:pos="432"/>
        </w:tabs>
        <w:spacing w:line="276" w:lineRule="auto"/>
        <w:jc w:val="left"/>
      </w:pPr>
      <w:r>
        <w:t>持续维护与升级服务</w:t>
      </w:r>
    </w:p>
    <w:p>
      <w:pPr>
        <w:spacing w:line="276" w:lineRule="auto"/>
        <w:ind w:firstLine="420"/>
        <w:jc w:val="left"/>
      </w:pPr>
      <w:r>
        <w:rPr>
          <w:rFonts w:hint="eastAsia"/>
        </w:rPr>
        <w:t>要求投标人</w:t>
      </w:r>
      <w:r>
        <w:t>最长每45个工作日对</w:t>
      </w:r>
      <w:r>
        <w:rPr>
          <w:rFonts w:hint="eastAsia"/>
        </w:rPr>
        <w:t>本校采购</w:t>
      </w:r>
      <w:r>
        <w:t>服务</w:t>
      </w:r>
      <w:r>
        <w:rPr>
          <w:rFonts w:hint="eastAsia"/>
        </w:rPr>
        <w:t>中</w:t>
      </w:r>
      <w:r>
        <w:t>所</w:t>
      </w:r>
      <w:r>
        <w:rPr>
          <w:rFonts w:hint="eastAsia"/>
        </w:rPr>
        <w:t>约定的</w:t>
      </w:r>
      <w:r>
        <w:t>产品功能</w:t>
      </w:r>
      <w:r>
        <w:rPr>
          <w:rFonts w:hint="eastAsia"/>
        </w:rPr>
        <w:t>服务</w:t>
      </w:r>
      <w:r>
        <w:t>进行一次升级，并在产品内与官方网站等渠道告知用户相关更新内容。截止开标日，</w:t>
      </w:r>
      <w:r>
        <w:rPr>
          <w:rFonts w:hint="eastAsia"/>
        </w:rPr>
        <w:t>投标人于官方网站发布的更新公告数量</w:t>
      </w:r>
      <w:r>
        <w:t>不得低于50</w:t>
      </w:r>
      <w:r>
        <w:rPr>
          <w:rFonts w:hint="eastAsia"/>
        </w:rPr>
        <w:t>篇</w:t>
      </w:r>
      <w:r>
        <w:t>，并</w:t>
      </w:r>
      <w:r>
        <w:rPr>
          <w:rFonts w:hint="eastAsia"/>
        </w:rPr>
        <w:t>需</w:t>
      </w:r>
      <w:r>
        <w:t>提供网站真实更新公告截图证明</w:t>
      </w:r>
      <w:r>
        <w:rPr>
          <w:rFonts w:hint="eastAsia"/>
        </w:rPr>
        <w:t>与对应网页访问链接</w:t>
      </w:r>
      <w:r>
        <w:t>。</w:t>
      </w:r>
    </w:p>
    <w:p>
      <w:pPr>
        <w:spacing w:line="276" w:lineRule="auto"/>
        <w:ind w:firstLine="420"/>
        <w:jc w:val="left"/>
      </w:pPr>
      <w:r>
        <w:rPr>
          <w:rFonts w:hint="eastAsia"/>
        </w:rPr>
        <w:t>对于投标人后续提供的新功能服务，并且在我校本次签署的合同中没有明文约定的，由投标人与我校另行商议服务采购细则。</w:t>
      </w:r>
    </w:p>
    <w:p>
      <w:pPr>
        <w:pStyle w:val="3"/>
        <w:widowControl/>
        <w:numPr>
          <w:ilvl w:val="1"/>
          <w:numId w:val="0"/>
        </w:numPr>
        <w:tabs>
          <w:tab w:val="left" w:pos="432"/>
        </w:tabs>
        <w:spacing w:line="276" w:lineRule="auto"/>
        <w:jc w:val="left"/>
      </w:pPr>
      <w:r>
        <w:t>客服支持服务</w:t>
      </w:r>
    </w:p>
    <w:p>
      <w:pPr>
        <w:spacing w:line="276" w:lineRule="auto"/>
        <w:ind w:firstLine="420"/>
        <w:jc w:val="left"/>
      </w:pPr>
      <w:r>
        <w:rPr>
          <w:rFonts w:hint="eastAsia"/>
        </w:rPr>
        <w:t>要求投标人指派专人支持学校功能使用，负责处理学校在服务使用过程当中的各种问题，如：使用培训、资料发送、问题解答、日常</w:t>
      </w:r>
      <w:r>
        <w:t>BUG跟踪与结果反馈、数据报告制作、日常使用场景引导与培训、学校汇报材料数据制作等相关工作。</w:t>
      </w:r>
    </w:p>
    <w:p>
      <w:pPr>
        <w:spacing w:line="276" w:lineRule="auto"/>
        <w:ind w:firstLine="420"/>
        <w:jc w:val="left"/>
      </w:pPr>
      <w:r>
        <w:rPr>
          <w:rFonts w:hint="eastAsia"/>
        </w:rPr>
        <w:t>要求投标人提供至少每周</w:t>
      </w:r>
      <w:r>
        <w:t>5*12小时的客服在线服务，负责及时解答辅导员与学工处用户的相关使用疑问。</w:t>
      </w:r>
    </w:p>
    <w:p>
      <w:pPr>
        <w:pStyle w:val="3"/>
        <w:widowControl/>
        <w:numPr>
          <w:ilvl w:val="1"/>
          <w:numId w:val="0"/>
        </w:numPr>
        <w:tabs>
          <w:tab w:val="left" w:pos="432"/>
        </w:tabs>
        <w:spacing w:line="276" w:lineRule="auto"/>
        <w:jc w:val="left"/>
      </w:pPr>
      <w:r>
        <w:t>培训服务</w:t>
      </w:r>
    </w:p>
    <w:p>
      <w:pPr>
        <w:spacing w:line="276" w:lineRule="auto"/>
        <w:ind w:firstLine="420"/>
        <w:jc w:val="left"/>
      </w:pPr>
      <w:r>
        <w:rPr>
          <w:rFonts w:hint="eastAsia"/>
        </w:rPr>
        <w:t>要求投标人提供服务推广的不少于</w:t>
      </w:r>
      <w:r>
        <w:t>10条的标准动作清单与不少于10家的落地案例，并必须指派专人到校为辅导员用户进行至少一次的线下培训交流会，以帮助学校用户快速上手使用服务。</w:t>
      </w:r>
    </w:p>
    <w:p>
      <w:pPr>
        <w:pStyle w:val="3"/>
        <w:widowControl/>
        <w:numPr>
          <w:ilvl w:val="1"/>
          <w:numId w:val="0"/>
        </w:numPr>
        <w:tabs>
          <w:tab w:val="left" w:pos="432"/>
        </w:tabs>
        <w:spacing w:line="276" w:lineRule="auto"/>
        <w:jc w:val="left"/>
      </w:pPr>
      <w:r>
        <w:t>帮助文档与视频支持服务</w:t>
      </w:r>
    </w:p>
    <w:p>
      <w:pPr>
        <w:spacing w:line="276" w:lineRule="auto"/>
        <w:ind w:firstLine="420"/>
        <w:jc w:val="left"/>
      </w:pPr>
      <w:r>
        <w:rPr>
          <w:rFonts w:hint="eastAsia"/>
        </w:rPr>
        <w:t>要求投标人提供所有功能的功能演示与讲解视频，并提供全量功能使用的操作手册。</w:t>
      </w:r>
    </w:p>
    <w:p>
      <w:pPr>
        <w:pStyle w:val="3"/>
        <w:widowControl/>
        <w:numPr>
          <w:ilvl w:val="1"/>
          <w:numId w:val="0"/>
        </w:numPr>
        <w:tabs>
          <w:tab w:val="left" w:pos="432"/>
        </w:tabs>
        <w:spacing w:line="276" w:lineRule="auto"/>
        <w:jc w:val="left"/>
      </w:pPr>
      <w:r>
        <w:t>学校使用情况数据分析支持服务</w:t>
      </w:r>
    </w:p>
    <w:p>
      <w:pPr>
        <w:spacing w:line="276" w:lineRule="auto"/>
        <w:ind w:firstLine="420"/>
        <w:jc w:val="left"/>
      </w:pPr>
      <w:r>
        <w:rPr>
          <w:rFonts w:hint="eastAsia"/>
        </w:rPr>
        <w:t>要求投标人，在校方要求下，提供学校当前服务的使用数据分析报告，至少包含所有功能的阶段性使用数据情况与常用功能分析等信息。以供校领导定期掌握服务落地效果与使用相关情况，用于评估服务实际价值，作为继续使用的数据依据。</w:t>
      </w:r>
    </w:p>
    <w:p>
      <w:pPr>
        <w:spacing w:line="276" w:lineRule="auto"/>
        <w:ind w:firstLine="420"/>
        <w:jc w:val="left"/>
      </w:pPr>
    </w:p>
    <w:p>
      <w:pPr>
        <w:pStyle w:val="2"/>
        <w:spacing w:line="276" w:lineRule="auto"/>
        <w:jc w:val="left"/>
      </w:pPr>
      <w:r>
        <w:rPr>
          <w:rFonts w:hint="eastAsia"/>
        </w:rPr>
        <w:t>5</w:t>
      </w:r>
      <w:r>
        <w:t>.服务内容及要求</w:t>
      </w:r>
    </w:p>
    <w:p>
      <w:pPr>
        <w:pStyle w:val="3"/>
        <w:widowControl/>
        <w:numPr>
          <w:ilvl w:val="1"/>
          <w:numId w:val="0"/>
        </w:numPr>
        <w:tabs>
          <w:tab w:val="left" w:pos="432"/>
        </w:tabs>
        <w:spacing w:line="276" w:lineRule="auto"/>
        <w:jc w:val="left"/>
      </w:pPr>
      <w:r>
        <w:t>辅导员办公协作服务技术服务整体要求</w:t>
      </w:r>
    </w:p>
    <w:p>
      <w:pPr>
        <w:spacing w:line="276" w:lineRule="auto"/>
        <w:ind w:firstLine="420"/>
        <w:jc w:val="left"/>
      </w:pPr>
      <w:r>
        <w:rPr>
          <w:rFonts w:hint="eastAsia"/>
        </w:rPr>
        <w:t>科学技术的快速发展</w:t>
      </w:r>
      <w:r>
        <w:t>,特别是移动互联网的高速发展，给高校信息化的建设带来了新的机遇。近年来我校发展规模不断扩大, 在校大学生数量急剧增加,由此大大增加了辅导员的管理工作量。而我校管理方式基本上是人工或半人工方式。</w:t>
      </w:r>
    </w:p>
    <w:p>
      <w:pPr>
        <w:spacing w:line="276" w:lineRule="auto"/>
        <w:ind w:firstLine="420"/>
        <w:jc w:val="left"/>
      </w:pPr>
      <w:r>
        <w:rPr>
          <w:rFonts w:hint="eastAsia"/>
        </w:rPr>
        <w:t>基于上述背景</w:t>
      </w:r>
      <w:r>
        <w:t>,结合我校的实际需求,利用现代先进的科学信息技术手段,对辅导员管理方式进行创新和改革,我校需要采购辅导员办公协作服务技术服务，提高辅导员管理工作的效率和水平。优化管理流程,提高工作质量。</w:t>
      </w:r>
    </w:p>
    <w:p>
      <w:pPr>
        <w:pStyle w:val="4"/>
        <w:spacing w:line="276" w:lineRule="auto"/>
        <w:jc w:val="left"/>
      </w:pPr>
      <w:r>
        <w:t>基于</w:t>
      </w:r>
      <w:r>
        <w:rPr>
          <w:rFonts w:hint="eastAsia"/>
        </w:rPr>
        <w:t>辅导员办公协作服务</w:t>
      </w:r>
      <w:r>
        <w:t>移动端提供技术服务的要求</w:t>
      </w:r>
    </w:p>
    <w:p>
      <w:pPr>
        <w:spacing w:line="276" w:lineRule="auto"/>
        <w:ind w:firstLine="420"/>
        <w:jc w:val="left"/>
      </w:pPr>
      <w:r>
        <w:rPr>
          <w:rFonts w:hint="eastAsia"/>
        </w:rPr>
        <w:t>投标方基于辅导员办公协作服务移动端提供技术服务，服务内容及功能具体要求如下：</w:t>
      </w:r>
    </w:p>
    <w:p>
      <w:pPr>
        <w:spacing w:line="276" w:lineRule="auto"/>
        <w:ind w:firstLine="422"/>
        <w:jc w:val="left"/>
      </w:pPr>
      <w:r>
        <w:rPr>
          <w:rFonts w:hint="eastAsia"/>
          <w:b/>
          <w:bCs/>
        </w:rPr>
        <w:t>统一身份认证：</w:t>
      </w:r>
      <w:r>
        <w:rPr>
          <w:rFonts w:hint="eastAsia"/>
        </w:rPr>
        <w:t>支持统一的移动认证接口，可以对接学校的身份认证系统。</w:t>
      </w:r>
    </w:p>
    <w:p>
      <w:pPr>
        <w:spacing w:line="276" w:lineRule="auto"/>
        <w:ind w:firstLine="422"/>
        <w:jc w:val="left"/>
      </w:pPr>
      <w:r>
        <w:rPr>
          <w:rFonts w:hint="eastAsia"/>
          <w:b/>
          <w:bCs/>
        </w:rPr>
        <w:t>通讯录：</w:t>
      </w:r>
      <w:r>
        <w:rPr>
          <w:rFonts w:hint="eastAsia"/>
        </w:rPr>
        <w:t>可根据学校的组织架构提供通讯录功能，并支持姓名或者电话号码模糊查询。找同学、找老师、找业务部门，并可以关注和沟通。</w:t>
      </w:r>
    </w:p>
    <w:p>
      <w:pPr>
        <w:spacing w:line="276" w:lineRule="auto"/>
        <w:ind w:firstLine="422"/>
        <w:jc w:val="left"/>
      </w:pPr>
      <w:r>
        <w:rPr>
          <w:rFonts w:hint="eastAsia"/>
          <w:b/>
          <w:bCs/>
        </w:rPr>
        <w:t>即时通讯：</w:t>
      </w:r>
      <w:r>
        <w:rPr>
          <w:rFonts w:hint="eastAsia"/>
        </w:rPr>
        <w:t>需提供即时通讯功能支持学生间、学生与辅导员间的私聊沟通，即时聊天可发布图片、音频、文字、表情等。</w:t>
      </w:r>
    </w:p>
    <w:p>
      <w:pPr>
        <w:spacing w:line="276" w:lineRule="auto"/>
        <w:ind w:firstLine="420"/>
        <w:jc w:val="left"/>
      </w:pPr>
    </w:p>
    <w:p>
      <w:pPr>
        <w:pStyle w:val="4"/>
        <w:spacing w:line="276" w:lineRule="auto"/>
        <w:jc w:val="left"/>
      </w:pPr>
      <w:r>
        <w:t>基于辅导员办公协作服务PC端提供技术服务的要求</w:t>
      </w:r>
    </w:p>
    <w:p>
      <w:pPr>
        <w:spacing w:line="276" w:lineRule="auto"/>
        <w:ind w:firstLine="420"/>
        <w:jc w:val="left"/>
      </w:pPr>
      <w:r>
        <w:rPr>
          <w:rFonts w:hint="eastAsia"/>
        </w:rPr>
        <w:t>基于辅导员办公协作服务</w:t>
      </w:r>
      <w:r>
        <w:t>PC端提供技术服务，用来进行通知发布、信息收集发布、活动报名信息发布、以及相关的信息管理工作等服务需求，具体服务内容与功能要求如下。</w:t>
      </w:r>
    </w:p>
    <w:p>
      <w:pPr>
        <w:spacing w:line="276" w:lineRule="auto"/>
        <w:ind w:firstLine="420"/>
        <w:jc w:val="left"/>
      </w:pPr>
      <w:r>
        <w:rPr>
          <w:rFonts w:hint="eastAsia"/>
        </w:rPr>
        <w:t>要求在</w:t>
      </w:r>
      <w:r>
        <w:t>PC端，通知、活动报名、信息采集、定点签到、查寝等功能的内容编辑区域，支持展示从word、网页中直接复制的文字，并保留其格式与样式，支持展示从网页中复制的图片。</w:t>
      </w:r>
    </w:p>
    <w:p>
      <w:pPr>
        <w:spacing w:line="276" w:lineRule="auto"/>
        <w:ind w:firstLine="420"/>
        <w:jc w:val="left"/>
      </w:pPr>
      <w:r>
        <w:rPr>
          <w:rFonts w:hint="eastAsia"/>
        </w:rPr>
        <w:t>要求在</w:t>
      </w:r>
      <w:r>
        <w:t>PC端除通过浏览器使用系统以外，系统提供独立的桌面客户端程序，用来进行通知发布、信息收集、活动报名发布等相关任务操作。可常驻于系统任务栏，并可随时唤起打开使用，支持在一段时间内无需重复登录。桌面客户端支持Windows7与Mac OS10.0以上版本的操作系统。</w:t>
      </w:r>
    </w:p>
    <w:p>
      <w:pPr>
        <w:pStyle w:val="3"/>
        <w:widowControl/>
        <w:numPr>
          <w:ilvl w:val="1"/>
          <w:numId w:val="0"/>
        </w:numPr>
        <w:tabs>
          <w:tab w:val="left" w:pos="432"/>
        </w:tabs>
        <w:spacing w:line="276" w:lineRule="auto"/>
        <w:jc w:val="left"/>
      </w:pPr>
      <w:r>
        <w:rPr>
          <w:rFonts w:hint="eastAsia"/>
        </w:rPr>
        <w:t>辅导员</w:t>
      </w:r>
      <w:r>
        <w:t>业务应用</w:t>
      </w:r>
      <w:r>
        <w:rPr>
          <w:rFonts w:hint="eastAsia"/>
        </w:rPr>
        <w:t>服务</w:t>
      </w:r>
      <w:r>
        <w:t>要求</w:t>
      </w:r>
    </w:p>
    <w:p>
      <w:pPr>
        <w:pStyle w:val="4"/>
        <w:spacing w:line="276" w:lineRule="auto"/>
        <w:jc w:val="left"/>
      </w:pPr>
      <w:bookmarkStart w:id="26" w:name="_Toc445713259"/>
      <w:r>
        <w:rPr>
          <w:rFonts w:hint="eastAsia"/>
        </w:rPr>
        <w:t>业务应用服务内容及要求</w:t>
      </w:r>
    </w:p>
    <w:p>
      <w:pPr>
        <w:pStyle w:val="5"/>
        <w:numPr>
          <w:ilvl w:val="3"/>
          <w:numId w:val="0"/>
        </w:numPr>
        <w:tabs>
          <w:tab w:val="left" w:pos="630"/>
          <w:tab w:val="left" w:pos="2275"/>
        </w:tabs>
        <w:spacing w:before="156" w:after="156" w:line="276" w:lineRule="auto"/>
        <w:ind w:left="1843"/>
        <w:jc w:val="left"/>
      </w:pPr>
      <w:r>
        <w:rPr>
          <w:rFonts w:hint="eastAsia"/>
        </w:rPr>
        <w:t>通知服务</w:t>
      </w:r>
    </w:p>
    <w:p>
      <w:pPr>
        <w:spacing w:line="276" w:lineRule="auto"/>
        <w:ind w:firstLine="420"/>
        <w:jc w:val="left"/>
      </w:pPr>
      <w:r>
        <w:rPr>
          <w:rFonts w:hint="eastAsia"/>
        </w:rPr>
        <w:t>要求辅导员可以编辑通知并发送给学生，通知内容包括通知标题、通知正文、附件上传，通知可以设固定的时间进行定时发送，学生可以在手机端看到通知内容，并手动确认是否已经阅读过通知；</w:t>
      </w:r>
    </w:p>
    <w:p>
      <w:pPr>
        <w:spacing w:line="276" w:lineRule="auto"/>
        <w:ind w:firstLine="420"/>
        <w:jc w:val="left"/>
      </w:pPr>
      <w:r>
        <w:rPr>
          <w:rFonts w:hint="eastAsia"/>
        </w:rPr>
        <w:t>通知需支持通过</w:t>
      </w:r>
      <w:r>
        <w:t>APP推送、可设APP推送的时间。对于重要的通知，还需具备短信提醒、电话智能语言提醒方式。发送通知前可在本地试听智能电话语音。</w:t>
      </w:r>
    </w:p>
    <w:p>
      <w:pPr>
        <w:spacing w:line="276" w:lineRule="auto"/>
        <w:ind w:firstLine="420"/>
        <w:jc w:val="left"/>
      </w:pPr>
      <w:r>
        <w:rPr>
          <w:rFonts w:hint="eastAsia"/>
        </w:rPr>
        <w:t>要求通知下面设学生提问区，学生可以就该通知向辅导员提问。辅导员可以在</w:t>
      </w:r>
      <w:r>
        <w:t xml:space="preserve">PC端、移动端回答学生的问题，同时辅导员可根据实际情况，选择将该问题的答案仅供提问者查看，或者供全体接受该通知的学生查看；   </w:t>
      </w:r>
    </w:p>
    <w:p>
      <w:pPr>
        <w:spacing w:line="276" w:lineRule="auto"/>
        <w:ind w:firstLine="420"/>
        <w:jc w:val="left"/>
      </w:pPr>
      <w:r>
        <w:rPr>
          <w:rFonts w:hint="eastAsia"/>
        </w:rPr>
        <w:t>对于重要性比较高的通知，辅导员发出通知后，学生长时间未阅读，系统需主动通知学生，可根据任务配置自动进行短信与电话智能语音提醒；同时辅导员可对未读学生手动进行提醒，可通过A</w:t>
      </w:r>
      <w:r>
        <w:t>PP</w:t>
      </w:r>
      <w:r>
        <w:rPr>
          <w:rFonts w:hint="eastAsia"/>
        </w:rPr>
        <w:t>推送、短信或电话智能语音方式提醒；</w:t>
      </w:r>
    </w:p>
    <w:p>
      <w:pPr>
        <w:spacing w:line="276" w:lineRule="auto"/>
        <w:ind w:firstLine="420"/>
        <w:jc w:val="left"/>
      </w:pPr>
      <w:r>
        <w:rPr>
          <w:rFonts w:hint="eastAsia"/>
        </w:rPr>
        <w:t>要求学工处可以设置全校级的通知任务，分配给各个学院辅导员或其他管理角色用户执行通知任务，并发送给其所管理的学生查看</w:t>
      </w:r>
      <w:r>
        <w:t>/确认；学工处可以看到</w:t>
      </w:r>
      <w:r>
        <w:rPr>
          <w:rFonts w:hint="eastAsia"/>
        </w:rPr>
        <w:t>所有管理角色用户的任务执行进度，以及全量</w:t>
      </w:r>
      <w:r>
        <w:t>学生的通知的查看/确认进度</w:t>
      </w:r>
      <w:r>
        <w:rPr>
          <w:rFonts w:hint="eastAsia"/>
        </w:rPr>
        <w:t>。</w:t>
      </w:r>
    </w:p>
    <w:p>
      <w:pPr>
        <w:pStyle w:val="5"/>
        <w:numPr>
          <w:ilvl w:val="3"/>
          <w:numId w:val="0"/>
        </w:numPr>
        <w:tabs>
          <w:tab w:val="left" w:pos="630"/>
          <w:tab w:val="left" w:pos="2275"/>
        </w:tabs>
        <w:spacing w:before="156" w:after="156" w:line="276" w:lineRule="auto"/>
        <w:ind w:left="1843"/>
        <w:jc w:val="left"/>
      </w:pPr>
      <w:r>
        <w:rPr>
          <w:rFonts w:hint="eastAsia"/>
        </w:rPr>
        <w:t>活动报名服务</w:t>
      </w:r>
    </w:p>
    <w:p>
      <w:pPr>
        <w:spacing w:line="276" w:lineRule="auto"/>
        <w:ind w:firstLine="420"/>
        <w:jc w:val="left"/>
      </w:pPr>
      <w:r>
        <w:rPr>
          <w:rFonts w:hint="eastAsia"/>
        </w:rPr>
        <w:t>要求辅导员可通过服务发布活动信息，活动信息至少包括活动名称、活动地点、开始结束时间、报名截止时间、活动内容说明、活动举办方、活动海报图片上传。其中活动名称、活动地点、开始结束时间、报名截止时间、活动内容说明为必填项；</w:t>
      </w:r>
    </w:p>
    <w:p>
      <w:pPr>
        <w:spacing w:line="276" w:lineRule="auto"/>
        <w:ind w:firstLine="420"/>
        <w:jc w:val="left"/>
      </w:pPr>
      <w:r>
        <w:rPr>
          <w:rFonts w:hint="eastAsia"/>
        </w:rPr>
        <w:t>要求学生可在移动端完成活动报名，报名结束后，辅导员可在</w:t>
      </w:r>
      <w:r>
        <w:t>PC端导出excel格式的报名学生名单。报名名单中至少包括学号、姓名、性别、手机号、年级、班级、专业、政治面貌、民族</w:t>
      </w:r>
      <w:r>
        <w:rPr>
          <w:rFonts w:hint="eastAsia"/>
        </w:rPr>
        <w:t>与学生的报名时间，辅导员可根据报名时间进行排序查看。</w:t>
      </w:r>
    </w:p>
    <w:p>
      <w:pPr>
        <w:spacing w:line="276" w:lineRule="auto"/>
        <w:ind w:firstLine="420"/>
        <w:jc w:val="left"/>
      </w:pPr>
      <w:r>
        <w:rPr>
          <w:rFonts w:hint="eastAsia"/>
        </w:rPr>
        <w:t>要求辅导员可通过服务对活动报名信息未读的学生进行消息提醒，并支持短信、虚拟语音电话等提醒方式。</w:t>
      </w:r>
    </w:p>
    <w:p>
      <w:pPr>
        <w:spacing w:line="276" w:lineRule="auto"/>
        <w:ind w:firstLine="420"/>
        <w:jc w:val="left"/>
      </w:pPr>
      <w:r>
        <w:rPr>
          <w:rFonts w:hint="eastAsia"/>
        </w:rPr>
        <w:t>要求辅导员可对活动报名人数进行限制，当学生报名人数超出限额后，停止报名</w:t>
      </w:r>
    </w:p>
    <w:p>
      <w:pPr>
        <w:spacing w:line="276" w:lineRule="auto"/>
        <w:ind w:firstLine="420"/>
        <w:jc w:val="left"/>
      </w:pPr>
    </w:p>
    <w:bookmarkEnd w:id="26"/>
    <w:p>
      <w:pPr>
        <w:pStyle w:val="5"/>
        <w:numPr>
          <w:ilvl w:val="3"/>
          <w:numId w:val="0"/>
        </w:numPr>
        <w:tabs>
          <w:tab w:val="left" w:pos="630"/>
          <w:tab w:val="left" w:pos="2275"/>
        </w:tabs>
        <w:spacing w:before="156" w:after="156" w:line="276" w:lineRule="auto"/>
        <w:ind w:left="1843"/>
        <w:jc w:val="left"/>
      </w:pPr>
      <w:r>
        <w:rPr>
          <w:rFonts w:hint="eastAsia"/>
        </w:rPr>
        <w:t>信息收集服务</w:t>
      </w:r>
    </w:p>
    <w:p>
      <w:pPr>
        <w:spacing w:line="276" w:lineRule="auto"/>
        <w:ind w:firstLine="420"/>
        <w:jc w:val="left"/>
      </w:pPr>
      <w:r>
        <w:rPr>
          <w:rFonts w:hint="eastAsia"/>
        </w:rPr>
        <w:t>要求辅导员可以通过服务发布给学生填写的收集表单。收集表单内容至少包括标题、标题详情、收集项目。收集项目至少包括填写文本、单选题、多选题、上传图片、时间选择题、地址选择题等；</w:t>
      </w:r>
    </w:p>
    <w:p>
      <w:pPr>
        <w:spacing w:line="276" w:lineRule="auto"/>
        <w:ind w:firstLine="420"/>
        <w:jc w:val="left"/>
      </w:pPr>
      <w:r>
        <w:rPr>
          <w:rFonts w:hint="eastAsia"/>
        </w:rPr>
        <w:t>要求发布收集表单时可开启定位采集功能，可采集学生在填写表单时所处的地理位置信息，辅导员在查看学生填写信息时，可查看定位地址信息，并可在地图中展现具体地点；</w:t>
      </w:r>
    </w:p>
    <w:p>
      <w:pPr>
        <w:spacing w:line="276" w:lineRule="auto"/>
        <w:ind w:firstLine="420"/>
        <w:jc w:val="left"/>
      </w:pPr>
      <w:r>
        <w:rPr>
          <w:rFonts w:hint="eastAsia"/>
        </w:rPr>
        <w:t>要求学生可在移动端完成表格填写，对于长时间没有完成填写的学生，要求系统自动通过A</w:t>
      </w:r>
      <w:r>
        <w:t>PP</w:t>
      </w:r>
      <w:r>
        <w:rPr>
          <w:rFonts w:hint="eastAsia"/>
        </w:rPr>
        <w:t>推送、短信或虚拟电话等方式予以通知，同时辅导员也可通过手动方式触发提醒；</w:t>
      </w:r>
    </w:p>
    <w:p>
      <w:pPr>
        <w:spacing w:line="276" w:lineRule="auto"/>
        <w:ind w:firstLine="420"/>
        <w:jc w:val="left"/>
      </w:pPr>
      <w:r>
        <w:rPr>
          <w:rFonts w:hint="eastAsia"/>
        </w:rPr>
        <w:t>对填写内容不符合要求的学生，辅导员可以通过打回的方式要求学生重新填写，打回后学生将收到移动端提醒并可进行再次填写提交。辅导员打回时，可以编写打回理由，并可以选择短信或电话智能语音的提醒方式。</w:t>
      </w:r>
    </w:p>
    <w:p>
      <w:pPr>
        <w:spacing w:line="276" w:lineRule="auto"/>
        <w:ind w:firstLine="420"/>
        <w:jc w:val="left"/>
        <w:rPr>
          <w:rFonts w:hint="eastAsia"/>
        </w:rPr>
      </w:pPr>
      <w:r>
        <w:rPr>
          <w:rFonts w:hint="eastAsia"/>
        </w:rPr>
        <w:t>要求辅导员可在P</w:t>
      </w:r>
      <w:r>
        <w:t>C</w:t>
      </w:r>
      <w:r>
        <w:rPr>
          <w:rFonts w:hint="eastAsia"/>
        </w:rPr>
        <w:t>端与移动端帮助未填写学生进行代填，填写后留存具体填写记录，包括填写人工号、姓名与操作时间等信息；要求辅导员可在P</w:t>
      </w:r>
      <w:r>
        <w:t>C</w:t>
      </w:r>
      <w:r>
        <w:rPr>
          <w:rFonts w:hint="eastAsia"/>
        </w:rPr>
        <w:t>端与移动端修改学生已提交的填写信息，并留存具体修改记录，包括修改人工号、姓名与操作时间等信息；</w:t>
      </w:r>
    </w:p>
    <w:p>
      <w:pPr>
        <w:spacing w:line="276" w:lineRule="auto"/>
        <w:ind w:firstLine="420"/>
        <w:jc w:val="left"/>
        <w:rPr>
          <w:rFonts w:hint="eastAsia"/>
          <w:lang w:eastAsia="zh-Hans"/>
        </w:rPr>
      </w:pPr>
      <w:r>
        <w:rPr>
          <w:rFonts w:hint="eastAsia"/>
          <w:lang w:eastAsia="zh-Hans"/>
        </w:rPr>
        <w:t>要求创建任务的时候提供模板服务，</w:t>
      </w:r>
      <w:r>
        <w:rPr>
          <w:lang w:eastAsia="zh-Hans"/>
        </w:rPr>
        <w:t>用户可直接选用模版生成需要学生填写的表单</w:t>
      </w:r>
      <w:r>
        <w:rPr>
          <w:rFonts w:hint="eastAsia"/>
          <w:lang w:eastAsia="zh-Hans"/>
        </w:rPr>
        <w:t>；</w:t>
      </w:r>
    </w:p>
    <w:p>
      <w:pPr>
        <w:spacing w:line="276" w:lineRule="auto"/>
        <w:ind w:firstLine="420"/>
        <w:jc w:val="left"/>
        <w:rPr>
          <w:lang w:eastAsia="zh-Hans"/>
        </w:rPr>
      </w:pPr>
      <w:r>
        <w:rPr>
          <w:rFonts w:hint="eastAsia"/>
          <w:lang w:eastAsia="zh-Hans"/>
        </w:rPr>
        <w:t>要求</w:t>
      </w:r>
      <w:r>
        <w:rPr>
          <w:lang w:eastAsia="zh-Hans"/>
        </w:rPr>
        <w:t>信息收集中增加健康码、行程码自动识别功能，高效实现疫情管理工作</w:t>
      </w:r>
      <w:r>
        <w:rPr>
          <w:rFonts w:hint="eastAsia"/>
          <w:lang w:eastAsia="zh-Hans"/>
        </w:rPr>
        <w:t>。</w:t>
      </w:r>
      <w:r>
        <w:rPr>
          <w:lang w:eastAsia="zh-Hans"/>
        </w:rPr>
        <w:t>学生上传健康码、行程码之后，系统自动识别出双码内容并直接呈现结果。支持识别健康码颜色、核酸检测情况、疫苗接种情况、健康码截图时间；行程码颜色、是否带星、是否去过中、高风险地区、行程码截图时间。降低人工核验时间。支持自动检测上传的图片是否有异常、是否上传的是当天的健康码/行程码，并自动汇总统计健康码、行程码的上传情况。帮助老师更便捷高效的从上报结果中快速发现可能存在风险的健康码、行程码。</w:t>
      </w:r>
    </w:p>
    <w:p>
      <w:pPr>
        <w:spacing w:line="276" w:lineRule="auto"/>
        <w:ind w:firstLine="420"/>
        <w:jc w:val="left"/>
        <w:rPr>
          <w:lang w:eastAsia="zh-Hans"/>
        </w:rPr>
      </w:pPr>
      <w:r>
        <w:rPr>
          <w:rFonts w:hint="eastAsia"/>
          <w:lang w:eastAsia="zh-Hans"/>
        </w:rPr>
        <w:t>要求</w:t>
      </w:r>
      <w:r>
        <w:rPr>
          <w:lang w:eastAsia="zh-Hans"/>
        </w:rPr>
        <w:t>信息收集中具备逻辑跳转功能，根据不同的选择项可分别设置选择后某个选项后，后续的题目是否展示、隐藏</w:t>
      </w:r>
    </w:p>
    <w:p>
      <w:pPr>
        <w:spacing w:line="276" w:lineRule="auto"/>
        <w:ind w:firstLine="420"/>
        <w:jc w:val="left"/>
        <w:rPr>
          <w:lang w:eastAsia="zh-Hans"/>
        </w:rPr>
      </w:pPr>
      <w:r>
        <w:rPr>
          <w:rFonts w:hint="eastAsia"/>
          <w:lang w:eastAsia="zh-Hans"/>
        </w:rPr>
        <w:t>要求</w:t>
      </w:r>
      <w:r>
        <w:rPr>
          <w:lang w:eastAsia="zh-Hans"/>
        </w:rPr>
        <w:t>信息收集中具备评分功能，用户可对题目分别设置分数，并在提交答卷时自动计算总分。</w:t>
      </w:r>
    </w:p>
    <w:p>
      <w:pPr>
        <w:spacing w:line="276" w:lineRule="auto"/>
        <w:ind w:firstLine="420"/>
        <w:jc w:val="left"/>
      </w:pPr>
      <w:r>
        <w:rPr>
          <w:rFonts w:hint="eastAsia"/>
        </w:rPr>
        <w:t>信息收集完成后，可将收集的数据通过</w:t>
      </w:r>
      <w:r>
        <w:t>excel表格的形式导出，对收集的图片，支持打包下载</w:t>
      </w:r>
      <w:r>
        <w:rPr>
          <w:rFonts w:hint="eastAsia"/>
        </w:rPr>
        <w:t>；</w:t>
      </w:r>
    </w:p>
    <w:p>
      <w:pPr>
        <w:spacing w:line="276" w:lineRule="auto"/>
        <w:ind w:firstLine="420"/>
        <w:jc w:val="left"/>
      </w:pPr>
      <w:r>
        <w:t>辅导员办公服务PC</w:t>
      </w:r>
      <w:r>
        <w:rPr>
          <w:rFonts w:hint="eastAsia"/>
        </w:rPr>
        <w:t>端与移动端中，</w:t>
      </w:r>
      <w:r>
        <w:t>必须可以查看信息收集的收集进度、收集数据、统计图表；</w:t>
      </w:r>
      <w:r>
        <w:rPr>
          <w:rFonts w:hint="eastAsia"/>
        </w:rPr>
        <w:t>其中统计图表支持查看具体选项与填写文本的数量分布情况，点击具体选项与数量后，可查看填写该选项或文本项的学生名单，包括学生姓名、学号、手机号等基本信息，支持对学生名单批量打回要求学生重新填写，同时支持将学生名单导出为excel</w:t>
      </w:r>
      <w:r>
        <w:rPr>
          <w:rFonts w:hint="eastAsia"/>
          <w:lang w:eastAsia="zh-Hans"/>
        </w:rPr>
        <w:t>以及将统计图表导出为word</w:t>
      </w:r>
      <w:r>
        <w:rPr>
          <w:rFonts w:hint="eastAsia"/>
        </w:rPr>
        <w:t>；</w:t>
      </w:r>
    </w:p>
    <w:p>
      <w:pPr>
        <w:spacing w:line="276" w:lineRule="auto"/>
        <w:ind w:firstLine="420"/>
        <w:jc w:val="left"/>
      </w:pPr>
      <w:r>
        <w:rPr>
          <w:rFonts w:hint="eastAsia"/>
        </w:rPr>
        <w:t>要求校级管理人员可创建全校级信息收集任务，设置任务填写表单与填写时间等信息，并分发要求指定辅导员或管理人员在P</w:t>
      </w:r>
      <w:r>
        <w:t>C</w:t>
      </w:r>
      <w:r>
        <w:rPr>
          <w:rFonts w:hint="eastAsia"/>
        </w:rPr>
        <w:t>端或移动端执行，发送给其管理的学生进行填写；学生在移动端填写后，分管辅导员与管理人员可查看其管理学生的填写数据，并进行打回、编辑、代填等相关操作，确认数据准确，校级管理人员可通过收集任务汇总查看全校老师任务执行情况，以及全校学生的填写具体数据以及统计分析结果；</w:t>
      </w:r>
    </w:p>
    <w:p>
      <w:pPr>
        <w:spacing w:line="276" w:lineRule="auto"/>
        <w:ind w:firstLine="420"/>
        <w:jc w:val="left"/>
        <w:rPr>
          <w:rFonts w:hint="eastAsia"/>
        </w:rPr>
      </w:pPr>
      <w:r>
        <w:rPr>
          <w:rFonts w:hint="eastAsia"/>
        </w:rPr>
        <w:t>要求全校级信息收集任务或普通信息收集任务发送后，所有可见该任务的管理人员可对任务进行复制，复制后保留原任务的相关表单配置信息，并可进行编辑修改后发送。</w:t>
      </w:r>
    </w:p>
    <w:p>
      <w:pPr>
        <w:spacing w:line="276" w:lineRule="auto"/>
        <w:ind w:firstLine="420"/>
        <w:jc w:val="left"/>
      </w:pPr>
      <w:r>
        <w:rPr>
          <w:rFonts w:hint="eastAsia"/>
        </w:rPr>
        <w:t>要求辅导员发布</w:t>
      </w:r>
      <w:r>
        <w:rPr>
          <w:rFonts w:hint="eastAsia"/>
          <w:lang w:eastAsia="zh-Hans"/>
        </w:rPr>
        <w:t>信息收集</w:t>
      </w:r>
      <w:r>
        <w:rPr>
          <w:rFonts w:hint="eastAsia"/>
        </w:rPr>
        <w:t>任务时，可设置异常提醒选项，即当学生选择异常选项后，可第一时间通过A</w:t>
      </w:r>
      <w:r>
        <w:t>PP</w:t>
      </w:r>
      <w:r>
        <w:rPr>
          <w:rFonts w:hint="eastAsia"/>
        </w:rPr>
        <w:t>推送提醒任务发送辅导员，辅导员点击消息后，可查看学生填写详情；</w:t>
      </w:r>
    </w:p>
    <w:p>
      <w:pPr>
        <w:spacing w:line="276" w:lineRule="auto"/>
        <w:ind w:firstLine="420"/>
        <w:jc w:val="left"/>
        <w:rPr>
          <w:rFonts w:hint="eastAsia"/>
        </w:rPr>
      </w:pPr>
    </w:p>
    <w:p>
      <w:pPr>
        <w:pStyle w:val="5"/>
        <w:numPr>
          <w:ilvl w:val="3"/>
          <w:numId w:val="0"/>
        </w:numPr>
        <w:tabs>
          <w:tab w:val="left" w:pos="630"/>
          <w:tab w:val="left" w:pos="2275"/>
        </w:tabs>
        <w:spacing w:before="156" w:after="156" w:line="276" w:lineRule="auto"/>
        <w:ind w:left="1843"/>
        <w:jc w:val="left"/>
      </w:pPr>
      <w:r>
        <w:rPr>
          <w:rFonts w:hint="eastAsia"/>
        </w:rPr>
        <w:t>学生请假服务</w:t>
      </w:r>
    </w:p>
    <w:p>
      <w:pPr>
        <w:spacing w:line="276" w:lineRule="auto"/>
        <w:ind w:firstLine="420"/>
        <w:jc w:val="left"/>
      </w:pPr>
      <w:r>
        <w:rPr>
          <w:rFonts w:hint="eastAsia"/>
        </w:rPr>
        <w:t>学生可通过移动端向辅导员请假，请假页面必须包括请假类型、开始时间、结束时间、是否需要离校、紧急联系人联系方式、审批人、请假原因、且可在同一页面上传附件；若选择离校假，则强制填写离校目的地，包括目的地的省/市/区</w:t>
      </w:r>
      <w:r>
        <w:t>(</w:t>
      </w:r>
      <w:r>
        <w:rPr>
          <w:rFonts w:hint="eastAsia"/>
        </w:rPr>
        <w:t>县)信息以及详细地址；老师端在审批请假申请时，可查看上述所有信息；</w:t>
      </w:r>
    </w:p>
    <w:p>
      <w:pPr>
        <w:spacing w:line="276" w:lineRule="auto"/>
        <w:ind w:firstLine="420"/>
        <w:jc w:val="left"/>
      </w:pPr>
      <w:r>
        <w:rPr>
          <w:rFonts w:hint="eastAsia"/>
        </w:rPr>
        <w:t>学生在填写请假申请时，可根据管理员后台配置采集学生请假时所在的地理位置信息，请假申请提交后，辅导员在审批时可查看学生定位地址，并可打开地图查看具体地点；</w:t>
      </w:r>
    </w:p>
    <w:p>
      <w:pPr>
        <w:spacing w:line="276" w:lineRule="auto"/>
        <w:ind w:firstLine="420"/>
        <w:jc w:val="left"/>
        <w:rPr>
          <w:rFonts w:hint="eastAsia"/>
        </w:rPr>
      </w:pPr>
      <w:r>
        <w:rPr>
          <w:rFonts w:hint="eastAsia"/>
        </w:rPr>
        <w:t>学生在填写请假申请时，以及老师在审批时，可设置请假申请的抄送人，可选择系统内的老师或学生，至少可添加3名抄送人员，设置完成后当请假审批流程完成并全部通过后，所选的抄送人将收到提醒，并可查看该请假申请详情信息；</w:t>
      </w:r>
    </w:p>
    <w:p>
      <w:pPr>
        <w:spacing w:line="276" w:lineRule="auto"/>
        <w:ind w:firstLine="420"/>
        <w:jc w:val="left"/>
      </w:pPr>
      <w:r>
        <w:rPr>
          <w:rFonts w:hint="eastAsia"/>
        </w:rPr>
        <w:t>辅导员可在</w:t>
      </w:r>
      <w:r>
        <w:t>PC端、移动端上进行审批请假申请。在审批界面具有核实电话、电话详情包括学生电话和紧急联系人电话，可点击号码直接拨号通话，对于需要离开学校的请假申请，在学生回到学校后，需在移动端上进行销假；</w:t>
      </w:r>
    </w:p>
    <w:p>
      <w:pPr>
        <w:spacing w:line="276" w:lineRule="auto"/>
        <w:ind w:firstLine="420"/>
        <w:jc w:val="left"/>
      </w:pPr>
      <w:r>
        <w:rPr>
          <w:rFonts w:hint="eastAsia"/>
        </w:rPr>
        <w:t>在学生移动端销假页面上，需有学生手机的实时拍照上传、实时定位位置上传等功能，该页面不允许学生上传图片代替实时拍照；</w:t>
      </w:r>
    </w:p>
    <w:p>
      <w:pPr>
        <w:spacing w:line="276" w:lineRule="auto"/>
        <w:ind w:firstLine="420"/>
        <w:jc w:val="left"/>
      </w:pPr>
      <w:r>
        <w:rPr>
          <w:rFonts w:hint="eastAsia"/>
        </w:rPr>
        <w:t>若学生无法按时销假，支持学生对原有请假单提交续假申请，在辅导员批准生效后自动延长原有请假时长，并在请假记录中可合并查看，保持请假申请与续假申请的关联性；</w:t>
      </w:r>
    </w:p>
    <w:p>
      <w:pPr>
        <w:spacing w:line="276" w:lineRule="auto"/>
        <w:ind w:firstLine="420"/>
        <w:jc w:val="left"/>
      </w:pPr>
      <w:r>
        <w:rPr>
          <w:rFonts w:hint="eastAsia"/>
        </w:rPr>
        <w:t>系统必须支持学校管理人员可对请假申请进行详细配置，必须包含：学生销假时是否必须上传照片、学生提交请假/续假申请时、是否必须上传地理位置、请假最大申请时长设置、审批逾期条件设置、以及非离校请假是否必须进行销假等，便于匹配学校相关管理要求；</w:t>
      </w:r>
    </w:p>
    <w:p>
      <w:pPr>
        <w:spacing w:line="276" w:lineRule="auto"/>
        <w:ind w:firstLine="420"/>
        <w:jc w:val="left"/>
      </w:pPr>
      <w:r>
        <w:rPr>
          <w:rFonts w:hint="eastAsia"/>
        </w:rPr>
        <w:t>系统必须支持学校管理人员可自定义设置请假类型，定义请假类型名称并可控制开启或关闭状态，同时针对于单个请假类型，必须支持对补请假与提前请假分别可控制是否开启，以及补请假与提前请假的时间范围设置，若设置开启后，学生提交请假申请选择对应请假类型后，系统界面中将出现相关时间要求；</w:t>
      </w:r>
    </w:p>
    <w:p>
      <w:pPr>
        <w:spacing w:line="276" w:lineRule="auto"/>
        <w:ind w:firstLine="420"/>
        <w:jc w:val="left"/>
      </w:pPr>
      <w:r>
        <w:rPr>
          <w:rFonts w:hint="eastAsia"/>
        </w:rPr>
        <w:t>系统必须支持学校管理人员可统一设置学生的销假定位范围，支持在地图界面中通过P</w:t>
      </w:r>
      <w:r>
        <w:t>OI</w:t>
      </w:r>
      <w:r>
        <w:rPr>
          <w:rFonts w:hint="eastAsia"/>
        </w:rPr>
        <w:t>兴趣点搜索查找地点并设置销假范围；</w:t>
      </w:r>
    </w:p>
    <w:p>
      <w:pPr>
        <w:spacing w:line="276" w:lineRule="auto"/>
        <w:ind w:firstLine="420"/>
        <w:jc w:val="left"/>
        <w:rPr>
          <w:rFonts w:hint="eastAsia"/>
        </w:rPr>
      </w:pPr>
      <w:r>
        <w:rPr>
          <w:rFonts w:hint="eastAsia"/>
        </w:rPr>
        <w:t>系统必须支持学校管理人员可设置销假逾期提醒，当学生请假时间截止后未及时进行销假操作，可自动通过A</w:t>
      </w:r>
      <w:r>
        <w:t>PP</w:t>
      </w:r>
      <w:r>
        <w:rPr>
          <w:rFonts w:hint="eastAsia"/>
        </w:rPr>
        <w:t>推送与短信提醒系统审批人员；</w:t>
      </w:r>
    </w:p>
    <w:p>
      <w:pPr>
        <w:spacing w:line="276" w:lineRule="auto"/>
        <w:ind w:firstLine="420"/>
        <w:jc w:val="left"/>
        <w:rPr>
          <w:rFonts w:eastAsia="仿宋"/>
          <w:lang w:eastAsia="zh-Hans"/>
        </w:rPr>
      </w:pPr>
      <w:r>
        <w:rPr>
          <w:rFonts w:hint="eastAsia"/>
          <w:lang w:eastAsia="zh-Hans"/>
        </w:rPr>
        <w:t>系统必须支持针对异常请假学生，可限制请假，设置请假黑名单服务。</w:t>
      </w:r>
    </w:p>
    <w:p>
      <w:pPr>
        <w:spacing w:line="276" w:lineRule="auto"/>
        <w:ind w:firstLine="420"/>
        <w:jc w:val="left"/>
      </w:pPr>
      <w:r>
        <w:rPr>
          <w:rFonts w:hint="eastAsia"/>
        </w:rPr>
        <w:t>系统必须支持学校管理人员可设置开启/关闭请假免责申明，当开启后学生提交请假申请时必须勾选免责申明才可提交请假；系统必须支持免责申明自定义编辑，且审批人员可在审批界面中查看免责申明内容；</w:t>
      </w:r>
    </w:p>
    <w:p>
      <w:pPr>
        <w:spacing w:line="276" w:lineRule="auto"/>
        <w:ind w:firstLine="420"/>
        <w:jc w:val="left"/>
      </w:pPr>
      <w:r>
        <w:rPr>
          <w:rFonts w:hint="eastAsia"/>
        </w:rPr>
        <w:t>系统必须支持学校管理人员可对全校或分学院设置请假审批流程，并可控制学院请假流程配置是否启用；审批流程设置时，支持按照请假类型、请假时长等条件，执行不同的请假审批流程，在审批节点上，允许按系统角色与自定义分组进行审批人员配置，并可以设置请假审批流程执行的优先级与审批人去重；</w:t>
      </w:r>
    </w:p>
    <w:p>
      <w:pPr>
        <w:spacing w:line="276" w:lineRule="auto"/>
        <w:ind w:firstLine="420"/>
        <w:jc w:val="left"/>
        <w:rPr>
          <w:rFonts w:hint="eastAsia"/>
        </w:rPr>
      </w:pPr>
      <w:r>
        <w:rPr>
          <w:rFonts w:hint="eastAsia"/>
        </w:rPr>
        <w:t>系统必须支持学生端展示请假单时，除请假基础提交与审批信息以外，需以明显颜色展示学生当前请假状态，同时提供动态防伪条或核验二维码，用于管理老师通过视觉观察或教师端应用扫码等方式，对请假单的真伪进行核验；</w:t>
      </w:r>
      <w:r>
        <w:rPr>
          <w:rFonts w:hint="eastAsia"/>
          <w:lang w:eastAsia="zh-Hans"/>
        </w:rPr>
        <w:t>管理员可在后台设置请假单二维码核验次数上限</w:t>
      </w:r>
      <w:r>
        <w:rPr>
          <w:lang w:eastAsia="zh-Hans"/>
        </w:rPr>
        <w:t>。</w:t>
      </w:r>
      <w:r>
        <w:rPr>
          <w:rFonts w:hint="eastAsia"/>
        </w:rPr>
        <w:t>系统必须在P</w:t>
      </w:r>
      <w:r>
        <w:t>C</w:t>
      </w:r>
      <w:r>
        <w:rPr>
          <w:rFonts w:hint="eastAsia"/>
        </w:rPr>
        <w:t>端接入U</w:t>
      </w:r>
      <w:r>
        <w:t>SB</w:t>
      </w:r>
      <w:r>
        <w:rPr>
          <w:rFonts w:hint="eastAsia"/>
        </w:rPr>
        <w:t>扫码枪，可通过扫码枪快速扫描学生出示的二维码进行请假单真伪核验。</w:t>
      </w:r>
    </w:p>
    <w:p>
      <w:pPr>
        <w:spacing w:line="276" w:lineRule="auto"/>
        <w:ind w:firstLine="420"/>
        <w:jc w:val="left"/>
        <w:rPr>
          <w:lang w:eastAsia="zh-Hans"/>
        </w:rPr>
      </w:pPr>
      <w:r>
        <w:rPr>
          <w:rFonts w:hint="eastAsia"/>
          <w:lang w:eastAsia="zh-Hans"/>
        </w:rPr>
        <w:t>请假单二维码界面应包含请假状态</w:t>
      </w:r>
      <w:r>
        <w:rPr>
          <w:lang w:eastAsia="zh-Hans"/>
        </w:rPr>
        <w:t>、</w:t>
      </w:r>
      <w:r>
        <w:rPr>
          <w:rFonts w:hint="eastAsia"/>
          <w:lang w:eastAsia="zh-Hans"/>
        </w:rPr>
        <w:t>当前时间</w:t>
      </w:r>
      <w:r>
        <w:rPr>
          <w:lang w:eastAsia="zh-Hans"/>
        </w:rPr>
        <w:t>、</w:t>
      </w:r>
      <w:r>
        <w:rPr>
          <w:rFonts w:hint="eastAsia"/>
          <w:lang w:eastAsia="zh-Hans"/>
        </w:rPr>
        <w:t>动态防伪轨迹图等防伪措施</w:t>
      </w:r>
      <w:r>
        <w:rPr>
          <w:lang w:eastAsia="zh-Hans"/>
        </w:rPr>
        <w:t>。</w:t>
      </w:r>
    </w:p>
    <w:p>
      <w:pPr>
        <w:spacing w:line="276" w:lineRule="auto"/>
        <w:ind w:firstLine="420"/>
        <w:jc w:val="left"/>
        <w:rPr>
          <w:lang w:eastAsia="zh-Hans"/>
        </w:rPr>
      </w:pPr>
      <w:r>
        <w:rPr>
          <w:rFonts w:hint="eastAsia"/>
          <w:lang w:eastAsia="zh-Hans"/>
        </w:rPr>
        <w:t>请假功能应具备设备锁功能</w:t>
      </w:r>
      <w:r>
        <w:rPr>
          <w:lang w:eastAsia="zh-Hans"/>
        </w:rPr>
        <w:t>，</w:t>
      </w:r>
      <w:r>
        <w:rPr>
          <w:rFonts w:hint="eastAsia"/>
          <w:lang w:eastAsia="zh-Hans"/>
        </w:rPr>
        <w:t>当学生更换设备登录时</w:t>
      </w:r>
      <w:r>
        <w:rPr>
          <w:lang w:eastAsia="zh-Hans"/>
        </w:rPr>
        <w:t>，</w:t>
      </w:r>
      <w:r>
        <w:rPr>
          <w:rFonts w:hint="eastAsia"/>
          <w:lang w:eastAsia="zh-Hans"/>
        </w:rPr>
        <w:t>无法直接查看历史请假记录</w:t>
      </w:r>
      <w:r>
        <w:rPr>
          <w:lang w:eastAsia="zh-Hans"/>
        </w:rPr>
        <w:t>，</w:t>
      </w:r>
      <w:r>
        <w:rPr>
          <w:rFonts w:hint="eastAsia"/>
          <w:lang w:eastAsia="zh-Hans"/>
        </w:rPr>
        <w:t>避免学生作弊情况的发生</w:t>
      </w:r>
      <w:r>
        <w:rPr>
          <w:lang w:eastAsia="zh-Hans"/>
        </w:rPr>
        <w:t>。</w:t>
      </w:r>
      <w:r>
        <w:rPr>
          <w:rFonts w:hint="eastAsia"/>
          <w:lang w:eastAsia="zh-Hans"/>
        </w:rPr>
        <w:t>请假设备锁仅可有该学生对应的辅导员解锁</w:t>
      </w:r>
      <w:r>
        <w:rPr>
          <w:lang w:eastAsia="zh-Hans"/>
        </w:rPr>
        <w:t>。</w:t>
      </w:r>
    </w:p>
    <w:p>
      <w:pPr>
        <w:spacing w:line="276" w:lineRule="auto"/>
        <w:ind w:firstLine="420"/>
        <w:jc w:val="left"/>
        <w:rPr>
          <w:rFonts w:eastAsia="仿宋"/>
          <w:lang w:eastAsia="zh-Hans"/>
        </w:rPr>
      </w:pPr>
      <w:r>
        <w:rPr>
          <w:rFonts w:hint="eastAsia"/>
        </w:rPr>
        <w:t>系统必须</w:t>
      </w:r>
      <w:r>
        <w:rPr>
          <w:rFonts w:hint="eastAsia"/>
          <w:lang w:eastAsia="zh-Hans"/>
        </w:rPr>
        <w:t>支持请假黑名单设置</w:t>
      </w:r>
      <w:r>
        <w:rPr>
          <w:lang w:eastAsia="zh-Hans"/>
        </w:rPr>
        <w:t>，</w:t>
      </w:r>
      <w:r>
        <w:rPr>
          <w:rFonts w:hint="eastAsia"/>
          <w:lang w:eastAsia="zh-Hans"/>
        </w:rPr>
        <w:t>被列入黑名单的学生无法发起请假</w:t>
      </w:r>
      <w:r>
        <w:rPr>
          <w:lang w:eastAsia="zh-Hans"/>
        </w:rPr>
        <w:t>。</w:t>
      </w:r>
    </w:p>
    <w:p>
      <w:pPr>
        <w:spacing w:line="276" w:lineRule="auto"/>
        <w:ind w:firstLine="420"/>
        <w:jc w:val="left"/>
        <w:rPr>
          <w:lang w:eastAsia="zh-Hans"/>
        </w:rPr>
      </w:pPr>
      <w:r>
        <w:rPr>
          <w:rFonts w:hint="eastAsia"/>
        </w:rPr>
        <w:t>系统必须</w:t>
      </w:r>
      <w:r>
        <w:rPr>
          <w:rFonts w:hint="eastAsia"/>
          <w:lang w:eastAsia="zh-Hans"/>
        </w:rPr>
        <w:t>支持请假时间限制</w:t>
      </w:r>
      <w:r>
        <w:rPr>
          <w:lang w:eastAsia="zh-Hans"/>
        </w:rPr>
        <w:t>，</w:t>
      </w:r>
      <w:r>
        <w:rPr>
          <w:rFonts w:hint="eastAsia"/>
          <w:lang w:eastAsia="zh-Hans"/>
        </w:rPr>
        <w:t>学生不可在学校设置的限制时间段内提交请假</w:t>
      </w:r>
      <w:r>
        <w:rPr>
          <w:lang w:eastAsia="zh-Hans"/>
        </w:rPr>
        <w:t>。</w:t>
      </w:r>
    </w:p>
    <w:p>
      <w:pPr>
        <w:spacing w:line="276" w:lineRule="auto"/>
        <w:jc w:val="left"/>
        <w:rPr>
          <w:lang w:eastAsia="zh-Hans"/>
        </w:rPr>
      </w:pPr>
      <w:r>
        <w:rPr>
          <w:rFonts w:hint="eastAsia"/>
        </w:rPr>
        <w:t>要求</w:t>
      </w:r>
      <w:r>
        <w:rPr>
          <w:rFonts w:hint="eastAsia"/>
          <w:lang w:eastAsia="zh-Hans"/>
        </w:rPr>
        <w:t>系统可根据用户需求</w:t>
      </w:r>
      <w:r>
        <w:rPr>
          <w:lang w:eastAsia="zh-Hans"/>
        </w:rPr>
        <w:t>，</w:t>
      </w:r>
      <w:r>
        <w:rPr>
          <w:rFonts w:hint="eastAsia"/>
          <w:lang w:eastAsia="zh-Hans"/>
        </w:rPr>
        <w:t>添加自定义选项</w:t>
      </w:r>
      <w:r>
        <w:rPr>
          <w:lang w:eastAsia="zh-Hans"/>
        </w:rPr>
        <w:t>，</w:t>
      </w:r>
      <w:r>
        <w:rPr>
          <w:rFonts w:hint="eastAsia"/>
          <w:lang w:eastAsia="zh-Hans"/>
        </w:rPr>
        <w:t>让学生发起请假时填写</w:t>
      </w:r>
      <w:r>
        <w:rPr>
          <w:lang w:eastAsia="zh-Hans"/>
        </w:rPr>
        <w:t>，</w:t>
      </w:r>
      <w:r>
        <w:rPr>
          <w:rFonts w:hint="eastAsia"/>
          <w:lang w:eastAsia="zh-Hans"/>
        </w:rPr>
        <w:t>至少包含单选</w:t>
      </w:r>
      <w:r>
        <w:rPr>
          <w:lang w:eastAsia="zh-Hans"/>
        </w:rPr>
        <w:t>、</w:t>
      </w:r>
      <w:r>
        <w:rPr>
          <w:rFonts w:hint="eastAsia"/>
          <w:lang w:eastAsia="zh-Hans"/>
        </w:rPr>
        <w:t>文本两种题型</w:t>
      </w:r>
      <w:r>
        <w:rPr>
          <w:lang w:eastAsia="zh-Hans"/>
        </w:rPr>
        <w:t>；</w:t>
      </w:r>
    </w:p>
    <w:p>
      <w:pPr>
        <w:spacing w:line="276" w:lineRule="auto"/>
        <w:jc w:val="left"/>
        <w:rPr>
          <w:rFonts w:eastAsia="仿宋"/>
          <w:lang w:eastAsia="zh-Hans"/>
        </w:rPr>
      </w:pPr>
      <w:r>
        <w:rPr>
          <w:rFonts w:hint="eastAsia"/>
        </w:rPr>
        <w:t>系统必须支持学校管理人员可对全校或分学院设置</w:t>
      </w:r>
      <w:r>
        <w:rPr>
          <w:rFonts w:hint="eastAsia"/>
          <w:lang w:eastAsia="zh-Hans"/>
        </w:rPr>
        <w:t>销假</w:t>
      </w:r>
      <w:r>
        <w:rPr>
          <w:rFonts w:hint="eastAsia"/>
        </w:rPr>
        <w:t>审批</w:t>
      </w:r>
      <w:r>
        <w:rPr>
          <w:rFonts w:hint="eastAsia"/>
          <w:lang w:eastAsia="zh-Hans"/>
        </w:rPr>
        <w:t>流程</w:t>
      </w:r>
      <w:r>
        <w:rPr>
          <w:lang w:eastAsia="zh-Hans"/>
        </w:rPr>
        <w:t>，</w:t>
      </w:r>
      <w:r>
        <w:rPr>
          <w:rFonts w:hint="eastAsia"/>
          <w:lang w:eastAsia="zh-Hans"/>
        </w:rPr>
        <w:t>流程可与该请假类型的请假审批流程一致</w:t>
      </w:r>
      <w:r>
        <w:rPr>
          <w:lang w:eastAsia="zh-Hans"/>
        </w:rPr>
        <w:t>，</w:t>
      </w:r>
      <w:r>
        <w:rPr>
          <w:rFonts w:hint="eastAsia"/>
          <w:lang w:eastAsia="zh-Hans"/>
        </w:rPr>
        <w:t>或要求仅第一级审批人审批</w:t>
      </w:r>
      <w:r>
        <w:rPr>
          <w:lang w:eastAsia="zh-Hans"/>
        </w:rPr>
        <w:t>。</w:t>
      </w:r>
    </w:p>
    <w:p>
      <w:pPr>
        <w:spacing w:line="276" w:lineRule="auto"/>
        <w:jc w:val="left"/>
        <w:rPr>
          <w:lang w:eastAsia="zh-Hans"/>
        </w:rPr>
      </w:pPr>
    </w:p>
    <w:p>
      <w:pPr>
        <w:spacing w:line="276" w:lineRule="auto"/>
        <w:ind w:firstLine="420"/>
        <w:jc w:val="left"/>
        <w:rPr>
          <w:lang w:eastAsia="zh-Hans"/>
        </w:rPr>
      </w:pPr>
    </w:p>
    <w:p>
      <w:pPr>
        <w:spacing w:line="276" w:lineRule="auto"/>
        <w:ind w:firstLine="420"/>
        <w:jc w:val="left"/>
        <w:rPr>
          <w:lang w:eastAsia="zh-Hans"/>
        </w:rPr>
      </w:pPr>
    </w:p>
    <w:p>
      <w:pPr>
        <w:spacing w:line="276" w:lineRule="auto"/>
        <w:ind w:firstLine="420"/>
        <w:jc w:val="left"/>
        <w:rPr>
          <w:rFonts w:hint="eastAsia"/>
        </w:rPr>
      </w:pPr>
    </w:p>
    <w:p>
      <w:pPr>
        <w:spacing w:line="276" w:lineRule="auto"/>
        <w:ind w:firstLine="420"/>
        <w:jc w:val="left"/>
      </w:pPr>
    </w:p>
    <w:p>
      <w:pPr>
        <w:pStyle w:val="5"/>
        <w:numPr>
          <w:ilvl w:val="3"/>
          <w:numId w:val="0"/>
        </w:numPr>
        <w:tabs>
          <w:tab w:val="left" w:pos="630"/>
          <w:tab w:val="left" w:pos="2275"/>
        </w:tabs>
        <w:spacing w:before="156" w:after="156" w:line="276" w:lineRule="auto"/>
        <w:ind w:left="1843"/>
        <w:jc w:val="left"/>
      </w:pPr>
      <w:r>
        <w:rPr>
          <w:rFonts w:hint="eastAsia"/>
        </w:rPr>
        <w:t>签到服务</w:t>
      </w:r>
    </w:p>
    <w:p>
      <w:pPr>
        <w:spacing w:line="276" w:lineRule="auto"/>
        <w:ind w:firstLine="420"/>
        <w:jc w:val="left"/>
      </w:pPr>
      <w:r>
        <w:rPr>
          <w:rFonts w:hint="eastAsia"/>
        </w:rPr>
        <w:t>要求辅导员可以通知学生，在指定时间、地点通过移动端</w:t>
      </w:r>
      <w:r>
        <w:t>APP进行打卡签到，辅导员可以在移动端、PC端查看到签到的实时进度情况；</w:t>
      </w:r>
    </w:p>
    <w:p>
      <w:pPr>
        <w:spacing w:line="276" w:lineRule="auto"/>
        <w:ind w:firstLine="420"/>
        <w:jc w:val="left"/>
      </w:pPr>
      <w:r>
        <w:rPr>
          <w:rFonts w:hint="eastAsia"/>
        </w:rPr>
        <w:t>在创建签到任务时，服务可以根据场景对签到任务进行分类，如会议、自习、返校签到、活动、实习等，根据不同的类型自动推荐签到方式与签到时间，方便辅导员创建签到任务。</w:t>
      </w:r>
    </w:p>
    <w:p>
      <w:pPr>
        <w:spacing w:line="276" w:lineRule="auto"/>
        <w:ind w:firstLine="420"/>
        <w:jc w:val="left"/>
      </w:pPr>
      <w:r>
        <w:rPr>
          <w:rFonts w:hint="eastAsia"/>
        </w:rPr>
        <w:t>要求辅导员发布的签到任务可通过学生扫描二维码进行签到，辅导员在发布签到任务时，可以指派学生或设置自己为二维码负责人，二维码负责人会在任务开始前收到短信提醒，签到开始后，二维码负责人可以通过移动端</w:t>
      </w:r>
      <w:r>
        <w:t>/网页端展示签到二维码，收到签到任务的学生可以通过扫描二维码进行签到；二维码负责人可以对改签到的结果进行手动修改；动态二维码可应对需要防止作弊的场景，二维码每15秒刷新一次，防止截屏转发完成签到；</w:t>
      </w:r>
    </w:p>
    <w:p>
      <w:pPr>
        <w:spacing w:line="276" w:lineRule="auto"/>
        <w:ind w:firstLine="420"/>
        <w:jc w:val="left"/>
      </w:pPr>
      <w:r>
        <w:rPr>
          <w:rFonts w:hint="eastAsia"/>
        </w:rPr>
        <w:t>要求辅导员发布签到任务时，可设置学生在签到时除进行定位或二维码扫描后，必须填写附加题；至少可设置</w:t>
      </w:r>
      <w:r>
        <w:t>3</w:t>
      </w:r>
      <w:r>
        <w:rPr>
          <w:rFonts w:hint="eastAsia"/>
        </w:rPr>
        <w:t>道选择题，并可设置异常提醒选项，即当学生选择异常选项后，可第一时间通过A</w:t>
      </w:r>
      <w:r>
        <w:t>PP</w:t>
      </w:r>
      <w:r>
        <w:rPr>
          <w:rFonts w:hint="eastAsia"/>
        </w:rPr>
        <w:t>推送提醒任务发送辅导员，辅导员点击消息后，可查看学生填写详情；</w:t>
      </w:r>
    </w:p>
    <w:p>
      <w:pPr>
        <w:spacing w:line="276" w:lineRule="auto"/>
        <w:ind w:firstLine="420"/>
        <w:jc w:val="left"/>
      </w:pPr>
      <w:r>
        <w:rPr>
          <w:rFonts w:hint="eastAsia"/>
        </w:rPr>
        <w:t>要求辅导员可创建自由签到任务，可设置不同签到地点对应不同的签到静态二维码，学生可通过</w:t>
      </w:r>
      <w:r>
        <w:t>APP端扫码完成签到；</w:t>
      </w:r>
      <w:r>
        <w:rPr>
          <w:rFonts w:hint="eastAsia"/>
        </w:rPr>
        <w:t>系统内可查看学生签到记录，以及所对应的二维码信息与定位地址信息，可支持学校用于校内学生流动登记等业务场景。</w:t>
      </w:r>
    </w:p>
    <w:p>
      <w:pPr>
        <w:spacing w:line="276" w:lineRule="auto"/>
        <w:ind w:firstLine="420"/>
        <w:jc w:val="left"/>
      </w:pPr>
      <w:r>
        <w:rPr>
          <w:rFonts w:hint="eastAsia"/>
        </w:rPr>
        <w:t>要求辅导员可以要求学生在签到的同时进行拍照，并且辅导员可以自行编辑拍照要求；</w:t>
      </w:r>
    </w:p>
    <w:p>
      <w:pPr>
        <w:spacing w:line="276" w:lineRule="auto"/>
        <w:ind w:firstLine="420"/>
        <w:jc w:val="left"/>
        <w:rPr>
          <w:rFonts w:hint="eastAsia"/>
        </w:rPr>
      </w:pPr>
      <w:r>
        <w:rPr>
          <w:rFonts w:hint="eastAsia"/>
        </w:rPr>
        <w:t>要求学工处可以设置全校级的签到任务，分配给指定的辅导员或管理人员执行签到任务，并安排其分管学生进行签到；学生签到后，学工处可以看到全校辅导员或管理人员的任务执行进度，以及所有分管学生的签到实时情况；并可以以辅导员维度查看任务详细情况；</w:t>
      </w:r>
    </w:p>
    <w:p>
      <w:pPr>
        <w:spacing w:line="276" w:lineRule="auto"/>
        <w:ind w:firstLine="420"/>
        <w:jc w:val="left"/>
        <w:rPr>
          <w:rFonts w:eastAsia="仿宋"/>
          <w:lang w:eastAsia="zh-Hans"/>
        </w:rPr>
      </w:pPr>
      <w:r>
        <w:rPr>
          <w:rFonts w:hint="eastAsia"/>
        </w:rPr>
        <w:t>要求</w:t>
      </w:r>
      <w:r>
        <w:rPr>
          <w:rFonts w:hint="eastAsia"/>
          <w:lang w:eastAsia="zh-Hans"/>
        </w:rPr>
        <w:t>全校级的签到任务至少可支持四级任务架构</w:t>
      </w:r>
      <w:r>
        <w:rPr>
          <w:lang w:eastAsia="zh-Hans"/>
        </w:rPr>
        <w:t>，</w:t>
      </w:r>
      <w:r>
        <w:rPr>
          <w:rFonts w:hint="eastAsia"/>
          <w:lang w:eastAsia="zh-Hans"/>
        </w:rPr>
        <w:t>即管理人员将任务发送至院系老师</w:t>
      </w:r>
      <w:r>
        <w:rPr>
          <w:lang w:eastAsia="zh-Hans"/>
        </w:rPr>
        <w:t>，</w:t>
      </w:r>
      <w:r>
        <w:rPr>
          <w:rFonts w:hint="eastAsia"/>
          <w:lang w:eastAsia="zh-Hans"/>
        </w:rPr>
        <w:t>再由院系老师转发至班级老师</w:t>
      </w:r>
      <w:r>
        <w:rPr>
          <w:lang w:eastAsia="zh-Hans"/>
        </w:rPr>
        <w:t>，</w:t>
      </w:r>
      <w:r>
        <w:rPr>
          <w:rFonts w:hint="eastAsia"/>
          <w:lang w:eastAsia="zh-Hans"/>
        </w:rPr>
        <w:t>最终由班级老师转发至学生</w:t>
      </w:r>
      <w:r>
        <w:rPr>
          <w:lang w:eastAsia="zh-Hans"/>
        </w:rPr>
        <w:t>。</w:t>
      </w:r>
    </w:p>
    <w:p>
      <w:pPr>
        <w:spacing w:line="276" w:lineRule="auto"/>
        <w:ind w:firstLine="420"/>
        <w:jc w:val="left"/>
      </w:pPr>
      <w:r>
        <w:rPr>
          <w:rFonts w:hint="eastAsia"/>
        </w:rPr>
        <w:t>要求对学生的签到状态，辅导员可以手动更改，并可以添加修改备注；</w:t>
      </w:r>
    </w:p>
    <w:p>
      <w:pPr>
        <w:spacing w:line="276" w:lineRule="auto"/>
        <w:ind w:firstLine="420"/>
        <w:jc w:val="left"/>
      </w:pPr>
      <w:r>
        <w:rPr>
          <w:rFonts w:hint="eastAsia"/>
        </w:rPr>
        <w:t>要求学生签到后界面中可弹出学生信息详情页，方便签到管理人员进行现场查验；个人信息详情页需带有基础的防伪措施，用于区分截图保存界面；详情页至少包含学生姓名、学号、性别、年级、学院、专业、班级、年级、宿舍信息等基础信息；当签到任务设置了附加信息与异常值时，学生若填写异常选项，可通过信息页直观查看异常状态。</w:t>
      </w:r>
    </w:p>
    <w:p>
      <w:pPr>
        <w:spacing w:line="276" w:lineRule="auto"/>
        <w:ind w:firstLine="420"/>
        <w:jc w:val="left"/>
      </w:pPr>
    </w:p>
    <w:p>
      <w:pPr>
        <w:pStyle w:val="5"/>
        <w:numPr>
          <w:ilvl w:val="3"/>
          <w:numId w:val="0"/>
        </w:numPr>
        <w:tabs>
          <w:tab w:val="left" w:pos="630"/>
          <w:tab w:val="left" w:pos="2275"/>
        </w:tabs>
        <w:spacing w:before="156" w:after="156" w:line="276" w:lineRule="auto"/>
        <w:ind w:left="1843"/>
        <w:jc w:val="left"/>
      </w:pPr>
      <w:r>
        <w:t>查寝服务</w:t>
      </w:r>
    </w:p>
    <w:p>
      <w:pPr>
        <w:spacing w:line="276" w:lineRule="auto"/>
        <w:ind w:firstLine="420"/>
        <w:jc w:val="left"/>
      </w:pPr>
      <w:r>
        <w:rPr>
          <w:rFonts w:hint="eastAsia"/>
        </w:rPr>
        <w:t>要求学生可通过拍照和定位的方式进行查寝签到。</w:t>
      </w:r>
    </w:p>
    <w:p>
      <w:pPr>
        <w:spacing w:line="276" w:lineRule="auto"/>
        <w:ind w:firstLine="420"/>
        <w:jc w:val="left"/>
      </w:pPr>
      <w:r>
        <w:rPr>
          <w:rFonts w:hint="eastAsia"/>
        </w:rPr>
        <w:t>要求服务可创建查寝组，查寝组可设置查寝名称、查寝日、签到时间段、查寝频率、拍照要求、签到范围、查寝对象。</w:t>
      </w:r>
    </w:p>
    <w:p>
      <w:pPr>
        <w:spacing w:line="276" w:lineRule="auto"/>
        <w:ind w:firstLine="420"/>
        <w:jc w:val="left"/>
      </w:pPr>
      <w:r>
        <w:rPr>
          <w:rFonts w:hint="eastAsia"/>
        </w:rPr>
        <w:t>对查寝日的设置，支持在日历上勾选特定多个日期，发起签到任务。或设置一定时间范围内自动循环发起查寝任务。（如</w:t>
      </w:r>
      <w:r>
        <w:t>3月10日至5月1日期间，每周一、三、五、日自动发起查寝任务）</w:t>
      </w:r>
    </w:p>
    <w:p>
      <w:pPr>
        <w:spacing w:line="276" w:lineRule="auto"/>
        <w:ind w:firstLine="420"/>
        <w:jc w:val="left"/>
      </w:pPr>
      <w:r>
        <w:rPr>
          <w:rFonts w:hint="eastAsia"/>
        </w:rPr>
        <w:t>要求可对创建的查寝组进行开始、暂停、设置与归档操作，并且可将一段时间的查寝记录通过</w:t>
      </w:r>
      <w:r>
        <w:t>excel表格的形式导出。</w:t>
      </w:r>
    </w:p>
    <w:p>
      <w:pPr>
        <w:spacing w:line="276" w:lineRule="auto"/>
        <w:ind w:firstLine="420"/>
        <w:jc w:val="left"/>
      </w:pPr>
      <w:r>
        <w:rPr>
          <w:rFonts w:hint="eastAsia"/>
        </w:rPr>
        <w:t>要求在查寝功能中，可以通过导入、在线编辑的方式，维护全校的宿舍与学生对应关系等信息，并在查寝任务详情中作为参考信息展现。</w:t>
      </w:r>
    </w:p>
    <w:p>
      <w:pPr>
        <w:spacing w:line="276" w:lineRule="auto"/>
        <w:ind w:firstLine="420"/>
        <w:jc w:val="left"/>
      </w:pPr>
      <w:r>
        <w:rPr>
          <w:rFonts w:hint="eastAsia"/>
        </w:rPr>
        <w:t>要求学工处可以设置全校级的查寝任务，分配给指定的辅导员或管理人员执行查寝任务，并安排其分管学生进行查寝签到；学生完成查寝签到后，学工处可以看到全校辅导员或管理人员的任务执行进度，以及所有分管学生的查寝到寝/请假实时情况；并可以以辅导员维度查看任务详细情况；</w:t>
      </w:r>
    </w:p>
    <w:p>
      <w:pPr>
        <w:spacing w:line="276" w:lineRule="auto"/>
        <w:ind w:firstLine="420"/>
        <w:jc w:val="left"/>
      </w:pPr>
    </w:p>
    <w:p>
      <w:pPr>
        <w:pStyle w:val="5"/>
        <w:numPr>
          <w:ilvl w:val="3"/>
          <w:numId w:val="0"/>
        </w:numPr>
        <w:tabs>
          <w:tab w:val="left" w:pos="630"/>
          <w:tab w:val="left" w:pos="2275"/>
        </w:tabs>
        <w:spacing w:before="156" w:after="156" w:line="276" w:lineRule="auto"/>
        <w:ind w:left="1843"/>
        <w:jc w:val="left"/>
      </w:pPr>
      <w:r>
        <w:t>学生信息库服务</w:t>
      </w:r>
    </w:p>
    <w:p>
      <w:pPr>
        <w:spacing w:line="276" w:lineRule="auto"/>
        <w:ind w:firstLine="420"/>
        <w:jc w:val="left"/>
      </w:pPr>
      <w:r>
        <w:rPr>
          <w:rFonts w:hint="eastAsia"/>
        </w:rPr>
        <w:t>要求支持汇总辅导员协同办公服务内产生的学生数据，以及校内学工、教务系统中的学生基本信息、家庭联系方式、宿舍信息与学生成绩信息；</w:t>
      </w:r>
    </w:p>
    <w:p>
      <w:pPr>
        <w:spacing w:line="276" w:lineRule="auto"/>
        <w:ind w:firstLine="420"/>
        <w:jc w:val="left"/>
      </w:pPr>
      <w:r>
        <w:rPr>
          <w:rFonts w:hint="eastAsia"/>
        </w:rPr>
        <w:t>要求系统根据辅导员所管理的学生数据权限范围，支持搜索单个学生查看信息，可调取查看服务产生的数据汇总记录，包括通知、活动报名、信息收集、签到、查寝、请假等业务功能所产生数据，点击具体数据记录可调取查看任务详情；同时要求单独呈现信息收集任务的全量结果数据并可在界面中直接查看所填写的内容；</w:t>
      </w:r>
    </w:p>
    <w:p>
      <w:pPr>
        <w:spacing w:line="276" w:lineRule="auto"/>
        <w:ind w:firstLine="420"/>
        <w:jc w:val="left"/>
      </w:pPr>
      <w:r>
        <w:rPr>
          <w:rFonts w:hint="eastAsia"/>
        </w:rPr>
        <w:t>支持人工</w:t>
      </w:r>
      <w:r>
        <w:t>excel导入与系统API对接的方式同步学生信息库中的数据，与校内系统保持一致。</w:t>
      </w:r>
    </w:p>
    <w:p>
      <w:pPr>
        <w:spacing w:line="276" w:lineRule="auto"/>
        <w:ind w:firstLine="420"/>
        <w:jc w:val="left"/>
      </w:pPr>
    </w:p>
    <w:p>
      <w:pPr>
        <w:pStyle w:val="5"/>
        <w:numPr>
          <w:ilvl w:val="3"/>
          <w:numId w:val="0"/>
        </w:numPr>
        <w:tabs>
          <w:tab w:val="left" w:pos="630"/>
          <w:tab w:val="left" w:pos="2275"/>
        </w:tabs>
        <w:spacing w:before="156" w:after="156" w:line="276" w:lineRule="auto"/>
        <w:ind w:left="1843"/>
        <w:jc w:val="left"/>
      </w:pPr>
      <w:r>
        <w:t>工作日志服务</w:t>
      </w:r>
    </w:p>
    <w:p>
      <w:pPr>
        <w:spacing w:line="276" w:lineRule="auto"/>
        <w:ind w:firstLine="420"/>
        <w:jc w:val="left"/>
      </w:pPr>
      <w:r>
        <w:rPr>
          <w:rFonts w:hint="eastAsia"/>
        </w:rPr>
        <w:t>要求系统内置“查听课记录”、“谈心谈话记录”、“宿舍走访记录”三类日志类型，并可由学校管理人员自定义创建工作日志模板表单，日志模板库支持字段类型包括：短文本、长文本、填写数字、单选、多选、时间选择、人员</w:t>
      </w:r>
      <w:r>
        <w:t>/组织选择、上传附件、定位签到等</w:t>
      </w:r>
      <w:r>
        <w:rPr>
          <w:rFonts w:hint="eastAsia"/>
        </w:rPr>
        <w:t>，日志模板创建完成后，可发布给老师查看进行填写与提交；</w:t>
      </w:r>
    </w:p>
    <w:p>
      <w:pPr>
        <w:spacing w:line="276" w:lineRule="auto"/>
        <w:ind w:firstLine="420"/>
        <w:jc w:val="left"/>
      </w:pPr>
      <w:r>
        <w:rPr>
          <w:rFonts w:hint="eastAsia"/>
        </w:rPr>
        <w:t>要求辅导员可在服务的</w:t>
      </w:r>
      <w:r>
        <w:t>PC端与移动端填写工作日志，实时保存填写内容</w:t>
      </w:r>
      <w:r>
        <w:rPr>
          <w:rFonts w:hint="eastAsia"/>
        </w:rPr>
        <w:t>，同时移动端填写支持语音转文字功能，辅导员填写时对手机说出内容，可自动转换为日志内容；</w:t>
      </w:r>
    </w:p>
    <w:p>
      <w:pPr>
        <w:spacing w:line="276" w:lineRule="auto"/>
        <w:ind w:firstLine="420"/>
        <w:jc w:val="left"/>
        <w:rPr>
          <w:rFonts w:hint="eastAsia"/>
        </w:rPr>
      </w:pPr>
      <w:r>
        <w:rPr>
          <w:rFonts w:hint="eastAsia"/>
        </w:rPr>
        <w:t>要求学校管理人员可发布工作日志填写任务，针对于指定的日志模板要求在指定时间段内提交相应数量的工作日志，并可设置在辅导员未按期提交指定数量的日志时，即时提醒辅导员填写并提交工作日志；支持查看任务发布后的辅导员日志提交进度并可导出excel。</w:t>
      </w:r>
    </w:p>
    <w:p>
      <w:pPr>
        <w:spacing w:line="276" w:lineRule="auto"/>
        <w:ind w:firstLine="420"/>
        <w:jc w:val="left"/>
        <w:rPr>
          <w:rFonts w:hint="eastAsia"/>
        </w:rPr>
      </w:pPr>
    </w:p>
    <w:p>
      <w:pPr>
        <w:pStyle w:val="4"/>
        <w:spacing w:line="276" w:lineRule="auto"/>
        <w:jc w:val="left"/>
      </w:pPr>
      <w:r>
        <w:t>统计数据分析服务内容及要求</w:t>
      </w:r>
    </w:p>
    <w:p>
      <w:pPr>
        <w:pStyle w:val="5"/>
        <w:numPr>
          <w:ilvl w:val="3"/>
          <w:numId w:val="0"/>
        </w:numPr>
        <w:tabs>
          <w:tab w:val="left" w:pos="630"/>
          <w:tab w:val="left" w:pos="2275"/>
        </w:tabs>
        <w:spacing w:before="156" w:after="156" w:line="276" w:lineRule="auto"/>
        <w:ind w:left="1843"/>
        <w:jc w:val="left"/>
      </w:pPr>
      <w:r>
        <w:t>学生行为数据分析服务</w:t>
      </w:r>
    </w:p>
    <w:p>
      <w:pPr>
        <w:spacing w:line="276" w:lineRule="auto"/>
        <w:ind w:firstLine="420"/>
        <w:jc w:val="left"/>
        <w:rPr>
          <w:rFonts w:hint="eastAsia"/>
        </w:rPr>
      </w:pPr>
      <w:r>
        <w:rPr>
          <w:rFonts w:hint="eastAsia"/>
        </w:rPr>
        <w:t>为满足学工处的学生行为数据统计分析需求，要求系统具备签到、请假、考勤、信息收集四类数据的分析报表功能。可自定义选择时间段与统计学生范围。同时所有数据支持按照校、院、年级、专业、班级、个人的方式进行逐级排名统计，支持自定义排序，支持统计图/表格切换展现形式，支持点击组织节点逐级下探查看与返回。</w:t>
      </w:r>
    </w:p>
    <w:p>
      <w:pPr>
        <w:spacing w:line="276" w:lineRule="auto"/>
        <w:ind w:firstLine="420"/>
        <w:jc w:val="left"/>
        <w:rPr>
          <w:rFonts w:hint="eastAsia"/>
        </w:rPr>
      </w:pPr>
      <w:r>
        <w:rPr>
          <w:rFonts w:hint="eastAsia"/>
          <w:lang w:eastAsia="zh-Hans"/>
        </w:rPr>
        <w:t>为更好的开展疫情防控工作，</w:t>
      </w:r>
      <w:r>
        <w:rPr>
          <w:rFonts w:hint="eastAsia"/>
        </w:rPr>
        <w:t>根据师生各类协作（请销假、查寝、各类考勤、疫情上报、信息采集等）学生授权获取位置信息，形成学生14天行为轨迹，自动与卫健委数据实时打通，及时判断“中高风险地区”学生，主动触发</w:t>
      </w:r>
      <w:r>
        <w:t>APP</w:t>
      </w:r>
      <w:r>
        <w:rPr>
          <w:rFonts w:hint="eastAsia"/>
        </w:rPr>
        <w:t>预警提醒</w:t>
      </w:r>
      <w:r>
        <w:t>，</w:t>
      </w:r>
      <w:r>
        <w:rPr>
          <w:rFonts w:hint="eastAsia"/>
          <w:lang w:eastAsia="zh-Hans"/>
        </w:rPr>
        <w:t>用户可点击预警消息查看预警详情</w:t>
      </w:r>
      <w:r>
        <w:rPr>
          <w:rFonts w:hint="eastAsia"/>
        </w:rPr>
        <w:t>，让老师可以第一时间发现潜在防控风险</w:t>
      </w:r>
    </w:p>
    <w:p>
      <w:pPr>
        <w:spacing w:line="276" w:lineRule="auto"/>
        <w:ind w:firstLine="420"/>
        <w:jc w:val="left"/>
        <w:rPr>
          <w:rFonts w:eastAsia="仿宋"/>
          <w:lang w:eastAsia="zh-Hans"/>
        </w:rPr>
      </w:pPr>
      <w:r>
        <w:rPr>
          <w:rFonts w:hint="eastAsia"/>
          <w:lang w:eastAsia="zh-Hans"/>
        </w:rPr>
        <w:t>要求系统可支持按照用户实际需求</w:t>
      </w:r>
      <w:r>
        <w:rPr>
          <w:lang w:eastAsia="zh-Hans"/>
        </w:rPr>
        <w:t>，</w:t>
      </w:r>
      <w:r>
        <w:rPr>
          <w:rFonts w:hint="eastAsia"/>
          <w:lang w:eastAsia="zh-Hans"/>
        </w:rPr>
        <w:t>自由编辑预警提醒周期</w:t>
      </w:r>
      <w:r>
        <w:rPr>
          <w:lang w:eastAsia="zh-Hans"/>
        </w:rPr>
        <w:t>，</w:t>
      </w:r>
      <w:r>
        <w:rPr>
          <w:rFonts w:hint="eastAsia"/>
          <w:lang w:eastAsia="zh-Hans"/>
        </w:rPr>
        <w:t>最短可支持</w:t>
      </w:r>
      <w:r>
        <w:rPr>
          <w:lang w:eastAsia="zh-Hans"/>
        </w:rPr>
        <w:t>3</w:t>
      </w:r>
      <w:r>
        <w:rPr>
          <w:rFonts w:hint="eastAsia"/>
          <w:lang w:eastAsia="zh-Hans"/>
        </w:rPr>
        <w:t>天</w:t>
      </w:r>
      <w:r>
        <w:rPr>
          <w:lang w:eastAsia="zh-Hans"/>
        </w:rPr>
        <w:t>，</w:t>
      </w:r>
      <w:r>
        <w:rPr>
          <w:rFonts w:hint="eastAsia"/>
          <w:lang w:eastAsia="zh-Hans"/>
        </w:rPr>
        <w:t>最长可支持</w:t>
      </w:r>
      <w:r>
        <w:rPr>
          <w:lang w:eastAsia="zh-Hans"/>
        </w:rPr>
        <w:t>14</w:t>
      </w:r>
      <w:r>
        <w:rPr>
          <w:rFonts w:hint="eastAsia"/>
          <w:lang w:eastAsia="zh-Hans"/>
        </w:rPr>
        <w:t>天</w:t>
      </w:r>
    </w:p>
    <w:p>
      <w:pPr>
        <w:spacing w:line="276" w:lineRule="auto"/>
        <w:ind w:firstLine="420"/>
        <w:jc w:val="left"/>
        <w:rPr>
          <w:rFonts w:hint="eastAsia"/>
        </w:rPr>
      </w:pPr>
    </w:p>
    <w:p>
      <w:pPr>
        <w:spacing w:line="276" w:lineRule="auto"/>
        <w:ind w:firstLine="420"/>
        <w:jc w:val="left"/>
      </w:pPr>
      <w:r>
        <w:rPr>
          <w:rFonts w:hint="eastAsia"/>
        </w:rPr>
        <w:t>要求对请假数据进行：</w:t>
      </w:r>
    </w:p>
    <w:p>
      <w:pPr>
        <w:pStyle w:val="43"/>
        <w:numPr>
          <w:ilvl w:val="0"/>
          <w:numId w:val="3"/>
        </w:numPr>
        <w:spacing w:line="276" w:lineRule="auto"/>
        <w:ind w:firstLineChars="0"/>
        <w:jc w:val="left"/>
      </w:pPr>
      <w:r>
        <w:t>休假情况、离校情况与销假逾期情况分析；</w:t>
      </w:r>
    </w:p>
    <w:p>
      <w:pPr>
        <w:pStyle w:val="43"/>
        <w:numPr>
          <w:ilvl w:val="0"/>
          <w:numId w:val="3"/>
        </w:numPr>
        <w:spacing w:line="276" w:lineRule="auto"/>
        <w:ind w:firstLineChars="0"/>
        <w:jc w:val="left"/>
      </w:pPr>
      <w:r>
        <w:t>多次请假、多次离校、多次销假逾期的学生排名并给出具体学生信息；</w:t>
      </w:r>
    </w:p>
    <w:p>
      <w:pPr>
        <w:pStyle w:val="43"/>
        <w:numPr>
          <w:ilvl w:val="0"/>
          <w:numId w:val="3"/>
        </w:numPr>
        <w:spacing w:line="276" w:lineRule="auto"/>
        <w:ind w:firstLineChars="0"/>
        <w:jc w:val="left"/>
      </w:pPr>
      <w:r>
        <w:t>全校请假申请类型、审批通过率、审批逾期率、请假时长分布、离校情况分布、销假逾期分布分析；</w:t>
      </w:r>
    </w:p>
    <w:p>
      <w:pPr>
        <w:pStyle w:val="43"/>
        <w:numPr>
          <w:ilvl w:val="0"/>
          <w:numId w:val="3"/>
        </w:numPr>
        <w:spacing w:line="276" w:lineRule="auto"/>
        <w:ind w:firstLineChars="0"/>
        <w:jc w:val="left"/>
      </w:pPr>
      <w:r>
        <w:t>请假申请次数与请假时长趋势分析；</w:t>
      </w:r>
    </w:p>
    <w:p>
      <w:pPr>
        <w:spacing w:line="276" w:lineRule="auto"/>
        <w:ind w:firstLine="420"/>
        <w:jc w:val="left"/>
      </w:pPr>
      <w:r>
        <w:rPr>
          <w:rFonts w:hint="eastAsia"/>
        </w:rPr>
        <w:t>要求对签到数据进行：</w:t>
      </w:r>
    </w:p>
    <w:p>
      <w:pPr>
        <w:pStyle w:val="43"/>
        <w:numPr>
          <w:ilvl w:val="0"/>
          <w:numId w:val="4"/>
        </w:numPr>
        <w:spacing w:line="276" w:lineRule="auto"/>
        <w:ind w:firstLineChars="0"/>
        <w:jc w:val="left"/>
      </w:pPr>
      <w:r>
        <w:t>整体签到人次情况、异常签到情况、签到请假情况分析；</w:t>
      </w:r>
    </w:p>
    <w:p>
      <w:pPr>
        <w:pStyle w:val="43"/>
        <w:numPr>
          <w:ilvl w:val="0"/>
          <w:numId w:val="4"/>
        </w:numPr>
        <w:spacing w:line="276" w:lineRule="auto"/>
        <w:ind w:firstLineChars="0"/>
        <w:jc w:val="left"/>
      </w:pPr>
      <w:r>
        <w:t>出多次未签到、多次异常签到、多次请假的学生排名与具体学生信息分析；</w:t>
      </w:r>
    </w:p>
    <w:p>
      <w:pPr>
        <w:spacing w:line="276" w:lineRule="auto"/>
        <w:ind w:firstLine="420"/>
        <w:jc w:val="left"/>
      </w:pPr>
      <w:r>
        <w:rPr>
          <w:rFonts w:hint="eastAsia"/>
        </w:rPr>
        <w:t>要求对查寝数据进行：</w:t>
      </w:r>
    </w:p>
    <w:p>
      <w:pPr>
        <w:pStyle w:val="43"/>
        <w:numPr>
          <w:ilvl w:val="0"/>
          <w:numId w:val="5"/>
        </w:numPr>
        <w:spacing w:line="276" w:lineRule="auto"/>
        <w:ind w:firstLineChars="0"/>
        <w:jc w:val="left"/>
      </w:pPr>
      <w:r>
        <w:t>查寝签到人次情况、异常签到情况、查寝请假情况、晚归情况、补签情况分析；</w:t>
      </w:r>
    </w:p>
    <w:p>
      <w:pPr>
        <w:pStyle w:val="43"/>
        <w:numPr>
          <w:ilvl w:val="0"/>
          <w:numId w:val="5"/>
        </w:numPr>
        <w:spacing w:line="276" w:lineRule="auto"/>
        <w:ind w:firstLineChars="0"/>
        <w:jc w:val="left"/>
      </w:pPr>
      <w:r>
        <w:t>多次未签到、多次异常签到、多次请假、多次晚归与多次补签的学生排名与具体学生信息分析；</w:t>
      </w:r>
    </w:p>
    <w:p>
      <w:pPr>
        <w:spacing w:line="276" w:lineRule="auto"/>
        <w:ind w:firstLine="420"/>
        <w:jc w:val="left"/>
      </w:pPr>
      <w:r>
        <w:rPr>
          <w:rFonts w:hint="eastAsia"/>
        </w:rPr>
        <w:t>要求对信息收集数据进行：</w:t>
      </w:r>
    </w:p>
    <w:p>
      <w:pPr>
        <w:pStyle w:val="43"/>
        <w:numPr>
          <w:ilvl w:val="0"/>
          <w:numId w:val="6"/>
        </w:numPr>
        <w:spacing w:line="276" w:lineRule="auto"/>
        <w:ind w:firstLineChars="0"/>
        <w:jc w:val="left"/>
        <w:rPr>
          <w:rFonts w:hint="eastAsia"/>
        </w:rPr>
      </w:pPr>
      <w:r>
        <w:rPr>
          <w:rFonts w:hint="eastAsia"/>
        </w:rPr>
        <w:t>信息收集填写率与覆盖率分析</w:t>
      </w:r>
    </w:p>
    <w:p>
      <w:pPr>
        <w:pStyle w:val="43"/>
        <w:numPr>
          <w:ilvl w:val="0"/>
          <w:numId w:val="6"/>
        </w:numPr>
        <w:spacing w:line="276" w:lineRule="auto"/>
        <w:ind w:firstLineChars="0"/>
        <w:jc w:val="left"/>
      </w:pPr>
      <w:r>
        <w:rPr>
          <w:rFonts w:hint="eastAsia"/>
        </w:rPr>
        <w:t>多次未填写人员与无信息收集任务的具体学生分析</w:t>
      </w:r>
    </w:p>
    <w:p>
      <w:pPr>
        <w:pStyle w:val="43"/>
        <w:spacing w:line="276" w:lineRule="auto"/>
        <w:ind w:firstLineChars="0"/>
        <w:jc w:val="left"/>
      </w:pPr>
      <w:r>
        <w:rPr>
          <w:rFonts w:hint="eastAsia"/>
        </w:rPr>
        <w:t>要求系统支持混合签到、查寝、请假等多类业务数据中的学生G</w:t>
      </w:r>
      <w:r>
        <w:t>PS</w:t>
      </w:r>
      <w:r>
        <w:rPr>
          <w:rFonts w:hint="eastAsia"/>
        </w:rPr>
        <w:t>定位数据进行综合分析，选定指定时间与指定人员后，系统支持在矢量地图/影像地图上呈现所选学生的全部最新G</w:t>
      </w:r>
      <w:r>
        <w:t>PS</w:t>
      </w:r>
      <w:r>
        <w:rPr>
          <w:rFonts w:hint="eastAsia"/>
        </w:rPr>
        <w:t>定位地点，并可点击查看详细名单。</w:t>
      </w:r>
    </w:p>
    <w:p>
      <w:pPr>
        <w:pStyle w:val="43"/>
        <w:spacing w:line="276" w:lineRule="auto"/>
        <w:ind w:firstLineChars="0"/>
        <w:jc w:val="left"/>
      </w:pPr>
      <w:r>
        <w:rPr>
          <w:rFonts w:hint="eastAsia"/>
        </w:rPr>
        <w:t>要求系统支持</w:t>
      </w:r>
      <w:r>
        <w:t>根据学生定位信息，自动比对与上一次定位数据的异动情况，并于地图上查看学生的起点与重点省份/地市，形成</w:t>
      </w:r>
      <w:r>
        <w:rPr>
          <w:rFonts w:hint="eastAsia"/>
        </w:rPr>
        <w:t>轨迹</w:t>
      </w:r>
      <w:r>
        <w:t>分布图</w:t>
      </w:r>
      <w:r>
        <w:rPr>
          <w:rFonts w:hint="eastAsia"/>
        </w:rPr>
        <w:t>，</w:t>
      </w:r>
      <w:r>
        <w:t>对异动轨迹区分显示为返回或停留本省、离开或停留在本省，用于查看学生的轨迹流向</w:t>
      </w:r>
      <w:r>
        <w:rPr>
          <w:rFonts w:hint="eastAsia"/>
        </w:rPr>
        <w:t>，</w:t>
      </w:r>
      <w:r>
        <w:t>点击具体轨迹，可查看学生名单与详细数据，包括起点位置、终点位置、学生基本信息与数据产生时间。</w:t>
      </w:r>
    </w:p>
    <w:p>
      <w:pPr>
        <w:pStyle w:val="43"/>
        <w:spacing w:line="276" w:lineRule="auto"/>
        <w:ind w:firstLineChars="0"/>
        <w:jc w:val="left"/>
        <w:rPr>
          <w:lang w:eastAsia="zh-Hans"/>
        </w:rPr>
      </w:pPr>
    </w:p>
    <w:p>
      <w:pPr>
        <w:pStyle w:val="5"/>
        <w:numPr>
          <w:ilvl w:val="3"/>
          <w:numId w:val="0"/>
        </w:numPr>
        <w:tabs>
          <w:tab w:val="left" w:pos="630"/>
          <w:tab w:val="left" w:pos="2275"/>
        </w:tabs>
        <w:spacing w:before="156" w:after="156" w:line="276" w:lineRule="auto"/>
        <w:ind w:left="1843"/>
        <w:jc w:val="left"/>
      </w:pPr>
      <w:r>
        <w:t>统计看板服务</w:t>
      </w:r>
    </w:p>
    <w:p>
      <w:pPr>
        <w:spacing w:line="276" w:lineRule="auto"/>
        <w:ind w:firstLine="420"/>
        <w:jc w:val="left"/>
      </w:pPr>
      <w:r>
        <w:rPr>
          <w:rFonts w:hint="eastAsia"/>
        </w:rPr>
        <w:t>各级管理人员</w:t>
      </w:r>
      <w:r>
        <w:t>，可通过此功能查看指定时间、指定范围内的辅导员办公协作服务使用数据与功能具体使用情况。包含通知、活动报名、信息收集、请假、查寝、签到功能所产生的业务数据。以请假为例，校级管理员可筛选查看最近1周，单个学院内，某一辅导员所管理学生的请假功能的使用情况，包含：申请数量、审批通过数量、销假逾期率、休假中的人数、总请假时长等。</w:t>
      </w:r>
    </w:p>
    <w:p>
      <w:pPr>
        <w:spacing w:line="276" w:lineRule="auto"/>
        <w:ind w:firstLine="420"/>
        <w:jc w:val="left"/>
      </w:pPr>
    </w:p>
    <w:p>
      <w:pPr>
        <w:pStyle w:val="4"/>
        <w:spacing w:line="276" w:lineRule="auto"/>
        <w:jc w:val="left"/>
      </w:pPr>
      <w:r>
        <w:rPr>
          <w:rFonts w:hint="eastAsia"/>
        </w:rPr>
        <w:t>基础能力服务内容及要求</w:t>
      </w:r>
    </w:p>
    <w:p>
      <w:pPr>
        <w:pStyle w:val="5"/>
        <w:numPr>
          <w:ilvl w:val="3"/>
          <w:numId w:val="0"/>
        </w:numPr>
        <w:tabs>
          <w:tab w:val="left" w:pos="630"/>
          <w:tab w:val="left" w:pos="2275"/>
        </w:tabs>
        <w:spacing w:before="156" w:after="156" w:line="276" w:lineRule="auto"/>
        <w:ind w:left="1843"/>
        <w:jc w:val="left"/>
      </w:pPr>
      <w:r>
        <w:t>全局任务控制服务</w:t>
      </w:r>
    </w:p>
    <w:p>
      <w:pPr>
        <w:spacing w:line="276" w:lineRule="auto"/>
        <w:ind w:firstLine="420"/>
        <w:jc w:val="left"/>
      </w:pPr>
      <w:r>
        <w:rPr>
          <w:rFonts w:hint="eastAsia"/>
        </w:rPr>
        <w:t>对通知、活动报名、信息收集、签到、查寝功能，可进行预览正文、任务删除、重新开启任务、提前结束任务、撤回任务、延期任务、编辑任务与暂停任务的操作。</w:t>
      </w:r>
    </w:p>
    <w:p>
      <w:pPr>
        <w:spacing w:line="276" w:lineRule="auto"/>
        <w:ind w:firstLine="420"/>
        <w:jc w:val="left"/>
      </w:pPr>
    </w:p>
    <w:p>
      <w:pPr>
        <w:pStyle w:val="5"/>
        <w:numPr>
          <w:ilvl w:val="3"/>
          <w:numId w:val="0"/>
        </w:numPr>
        <w:tabs>
          <w:tab w:val="left" w:pos="630"/>
          <w:tab w:val="left" w:pos="2275"/>
        </w:tabs>
        <w:spacing w:before="156" w:after="156" w:line="276" w:lineRule="auto"/>
        <w:ind w:left="1843"/>
        <w:jc w:val="left"/>
      </w:pPr>
      <w:r>
        <w:rPr>
          <w:rFonts w:hint="eastAsia"/>
        </w:rPr>
        <w:t>备忘录服务</w:t>
      </w:r>
    </w:p>
    <w:p>
      <w:pPr>
        <w:spacing w:line="276" w:lineRule="auto"/>
        <w:ind w:firstLine="420"/>
        <w:jc w:val="left"/>
      </w:pPr>
      <w:r>
        <w:rPr>
          <w:rFonts w:hint="eastAsia"/>
        </w:rPr>
        <w:t>需支持辅导员可以在网页</w:t>
      </w:r>
      <w:r>
        <w:t>/移动端添加待办事项，在网页/移动端之间同步数据，方便查看待办事务；</w:t>
      </w:r>
    </w:p>
    <w:p>
      <w:pPr>
        <w:pStyle w:val="5"/>
        <w:numPr>
          <w:ilvl w:val="3"/>
          <w:numId w:val="0"/>
        </w:numPr>
        <w:tabs>
          <w:tab w:val="left" w:pos="630"/>
          <w:tab w:val="left" w:pos="2275"/>
        </w:tabs>
        <w:spacing w:before="156" w:after="156" w:line="276" w:lineRule="auto"/>
        <w:ind w:left="1843"/>
        <w:jc w:val="left"/>
      </w:pPr>
      <w:r>
        <w:rPr>
          <w:rFonts w:hint="eastAsia"/>
        </w:rPr>
        <w:t>自定义用户与筛选器服务</w:t>
      </w:r>
    </w:p>
    <w:p>
      <w:pPr>
        <w:spacing w:line="276" w:lineRule="auto"/>
        <w:ind w:firstLine="420"/>
        <w:jc w:val="left"/>
      </w:pPr>
      <w:r>
        <w:rPr>
          <w:rFonts w:hint="eastAsia"/>
        </w:rPr>
        <w:t>需支持所有管理用户在成员管理中，可新建自定义老师与学生分组，方便进行组织管理；添加自定义分组时，支持通过学号/工号粘贴的方式，快速匹配创建自定义分组；</w:t>
      </w:r>
    </w:p>
    <w:p>
      <w:pPr>
        <w:spacing w:line="276" w:lineRule="auto"/>
        <w:ind w:firstLine="420"/>
        <w:jc w:val="left"/>
      </w:pPr>
      <w:r>
        <w:rPr>
          <w:rFonts w:hint="eastAsia"/>
        </w:rPr>
        <w:t>在使用业务功能时，可以使用院系、专业、班级、年级、学生类别、在校情况等字段，对业务使用对象学生进行筛选，方便业务功能对不同类型学生的区别使用。</w:t>
      </w:r>
    </w:p>
    <w:p>
      <w:pPr>
        <w:pStyle w:val="5"/>
        <w:numPr>
          <w:ilvl w:val="3"/>
          <w:numId w:val="0"/>
        </w:numPr>
        <w:tabs>
          <w:tab w:val="left" w:pos="630"/>
          <w:tab w:val="left" w:pos="2275"/>
        </w:tabs>
        <w:spacing w:before="156" w:after="156" w:line="276" w:lineRule="auto"/>
        <w:ind w:left="1843"/>
        <w:jc w:val="left"/>
      </w:pPr>
      <w:r>
        <w:rPr>
          <w:rFonts w:hint="eastAsia"/>
        </w:rPr>
        <w:t>辅导员的任务相互查看服务</w:t>
      </w:r>
    </w:p>
    <w:p>
      <w:pPr>
        <w:spacing w:line="276" w:lineRule="auto"/>
        <w:ind w:firstLine="420"/>
        <w:jc w:val="left"/>
      </w:pPr>
      <w:r>
        <w:rPr>
          <w:rFonts w:hint="eastAsia"/>
        </w:rPr>
        <w:t>要求辅导员用户在系统中可通过设置关注用户的方式，查看其它管理员与辅导员正在发布的任务与历史任务。管理员角色的用户可直接查看其他用户的任务；而其它用户则需要进行关注申请，通过后才可进行任务查看。</w:t>
      </w:r>
    </w:p>
    <w:p>
      <w:pPr>
        <w:pStyle w:val="5"/>
        <w:numPr>
          <w:ilvl w:val="3"/>
          <w:numId w:val="0"/>
        </w:numPr>
        <w:tabs>
          <w:tab w:val="left" w:pos="630"/>
          <w:tab w:val="left" w:pos="2275"/>
        </w:tabs>
        <w:spacing w:before="156" w:after="156" w:line="276" w:lineRule="auto"/>
        <w:ind w:left="1843"/>
        <w:jc w:val="left"/>
      </w:pPr>
      <w:r>
        <w:rPr>
          <w:rFonts w:hint="eastAsia"/>
        </w:rPr>
        <w:t>成员管理服务</w:t>
      </w:r>
    </w:p>
    <w:p>
      <w:pPr>
        <w:spacing w:line="276" w:lineRule="auto"/>
        <w:ind w:firstLine="420"/>
        <w:jc w:val="left"/>
      </w:pPr>
      <w:r>
        <w:rPr>
          <w:rFonts w:hint="eastAsia"/>
        </w:rPr>
        <w:t>要求辅导员可以通过组织架构菜单，查看所管理的学生信息，至少包括学号、姓名、学院、专业、班级、性别、手机号；</w:t>
      </w:r>
    </w:p>
    <w:p>
      <w:pPr>
        <w:spacing w:line="276" w:lineRule="auto"/>
        <w:ind w:firstLine="420"/>
        <w:jc w:val="left"/>
      </w:pPr>
      <w:r>
        <w:rPr>
          <w:rFonts w:hint="eastAsia"/>
        </w:rPr>
        <w:t>要求辅导员与所有管理用户，可以手动导入更新学生的手机号，并可以向所管理的学生发送短信，以提醒学生安装用于接收任务提醒并执行任务的移动APP平台；提醒后可查看所有学生移动A</w:t>
      </w:r>
      <w:r>
        <w:t>PP</w:t>
      </w:r>
      <w:r>
        <w:rPr>
          <w:rFonts w:hint="eastAsia"/>
        </w:rPr>
        <w:t>平台的激活使用情况；</w:t>
      </w:r>
    </w:p>
    <w:p>
      <w:pPr>
        <w:spacing w:line="276" w:lineRule="auto"/>
        <w:ind w:firstLine="420"/>
        <w:jc w:val="left"/>
      </w:pPr>
      <w:r>
        <w:rPr>
          <w:rFonts w:hint="eastAsia"/>
        </w:rPr>
        <w:t>要求系统支持对单个用户设置多个角色，每个角色支持单独维护分管学生数据，该成员登录与系统使用时支持对自己的角色切换，</w:t>
      </w:r>
      <w:bookmarkStart w:id="27" w:name="_Hlk70443184"/>
      <w:r>
        <w:rPr>
          <w:rFonts w:hint="eastAsia"/>
        </w:rPr>
        <w:t>切换角色后可查看不同任职下不同分管学生的数据，以及根据角色展示拥有使用权限的功能模块</w:t>
      </w:r>
      <w:bookmarkEnd w:id="27"/>
      <w:r>
        <w:rPr>
          <w:rFonts w:hint="eastAsia"/>
        </w:rPr>
        <w:t>。</w:t>
      </w:r>
    </w:p>
    <w:p>
      <w:pPr>
        <w:pStyle w:val="5"/>
        <w:numPr>
          <w:ilvl w:val="3"/>
          <w:numId w:val="0"/>
        </w:numPr>
        <w:tabs>
          <w:tab w:val="left" w:pos="630"/>
          <w:tab w:val="left" w:pos="2275"/>
        </w:tabs>
        <w:spacing w:before="156" w:after="156" w:line="276" w:lineRule="auto"/>
        <w:ind w:left="1843"/>
        <w:jc w:val="left"/>
      </w:pPr>
      <w:r>
        <w:rPr>
          <w:rFonts w:hint="eastAsia"/>
        </w:rPr>
        <w:t>权限管理服务</w:t>
      </w:r>
    </w:p>
    <w:p>
      <w:pPr>
        <w:spacing w:line="276" w:lineRule="auto"/>
        <w:ind w:firstLine="420"/>
        <w:jc w:val="left"/>
      </w:pPr>
      <w:r>
        <w:rPr>
          <w:rFonts w:hint="eastAsia"/>
        </w:rPr>
        <w:t>要求系统支持</w:t>
      </w:r>
      <w:r>
        <w:t>4级</w:t>
      </w:r>
      <w:r>
        <w:rPr>
          <w:rFonts w:hint="eastAsia"/>
        </w:rPr>
        <w:t>职级</w:t>
      </w:r>
      <w:r>
        <w:t>，包括校级、院级、班级、助理，不同</w:t>
      </w:r>
      <w:r>
        <w:rPr>
          <w:rFonts w:hint="eastAsia"/>
        </w:rPr>
        <w:t>职级</w:t>
      </w:r>
      <w:r>
        <w:t>具备基本的数据权限，校级支持在统计数据中查看全校数据，院级支持查看自己所任职学院的所有数据，班级与助理仅支持查看自己分管学生的数据</w:t>
      </w:r>
      <w:r>
        <w:rPr>
          <w:rFonts w:hint="eastAsia"/>
        </w:rPr>
        <w:t>；</w:t>
      </w:r>
    </w:p>
    <w:p>
      <w:pPr>
        <w:spacing w:line="276" w:lineRule="auto"/>
        <w:ind w:firstLine="420"/>
        <w:jc w:val="left"/>
      </w:pPr>
      <w:r>
        <w:rPr>
          <w:rFonts w:hint="eastAsia"/>
        </w:rPr>
        <w:t>要求系统支持自定义创建角色，创建时可对角色的名称，角色人群限制，角色描述以及角色职级，同时对系统内的功能权限进行详细配置，至少包括禁止访问、查看与编辑</w:t>
      </w:r>
      <w:r>
        <w:t>+查看权限</w:t>
      </w:r>
      <w:r>
        <w:rPr>
          <w:rFonts w:hint="eastAsia"/>
        </w:rPr>
        <w:t>等</w:t>
      </w:r>
      <w:r>
        <w:t>。</w:t>
      </w:r>
    </w:p>
    <w:p>
      <w:pPr>
        <w:pStyle w:val="5"/>
        <w:numPr>
          <w:ilvl w:val="3"/>
          <w:numId w:val="0"/>
        </w:numPr>
        <w:tabs>
          <w:tab w:val="left" w:pos="630"/>
          <w:tab w:val="left" w:pos="2275"/>
        </w:tabs>
        <w:spacing w:before="156" w:after="156" w:line="276" w:lineRule="auto"/>
        <w:ind w:left="1843"/>
        <w:jc w:val="left"/>
      </w:pPr>
      <w:r>
        <w:rPr>
          <w:rFonts w:hint="eastAsia"/>
        </w:rPr>
        <w:t>全局配置服务</w:t>
      </w:r>
    </w:p>
    <w:p>
      <w:pPr>
        <w:spacing w:line="276" w:lineRule="auto"/>
        <w:ind w:firstLine="420"/>
        <w:jc w:val="left"/>
      </w:pPr>
      <w:r>
        <w:rPr>
          <w:rFonts w:hint="eastAsia"/>
        </w:rPr>
        <w:t>要求校级管理员可以对系统中的学生属性进行统一管理，可配置学生类别与在校情况字段；</w:t>
      </w:r>
    </w:p>
    <w:p>
      <w:pPr>
        <w:spacing w:line="276" w:lineRule="auto"/>
        <w:ind w:firstLine="420"/>
        <w:jc w:val="left"/>
      </w:pPr>
      <w:r>
        <w:rPr>
          <w:rFonts w:hint="eastAsia"/>
        </w:rPr>
        <w:t>要求校级管理员可以对全校的电话提醒设置免打扰时间段，在设置的时间段内，学生将不会收到电话智能语音提醒；</w:t>
      </w:r>
    </w:p>
    <w:p>
      <w:pPr>
        <w:spacing w:line="276" w:lineRule="auto"/>
        <w:jc w:val="left"/>
      </w:pPr>
      <w:r>
        <w:rPr>
          <w:rFonts w:hint="eastAsia"/>
        </w:rPr>
        <w:t>要求校级管理员可以对全校的系统功能进行开关配置；</w:t>
      </w:r>
    </w:p>
    <w:p/>
    <w:p>
      <w:pPr>
        <w:pStyle w:val="8"/>
        <w:spacing w:line="353" w:lineRule="auto"/>
        <w:ind w:firstLine="496" w:firstLineChars="200"/>
        <w:rPr>
          <w:bCs/>
          <w:color w:val="000000" w:themeColor="text1"/>
          <w:spacing w:val="4"/>
          <w:szCs w:val="24"/>
          <w14:textFill>
            <w14:solidFill>
              <w14:schemeClr w14:val="tx1"/>
            </w14:solidFill>
          </w14:textFill>
        </w:rPr>
      </w:pPr>
    </w:p>
    <w:p>
      <w:pPr>
        <w:pStyle w:val="8"/>
        <w:rPr>
          <w:bCs/>
        </w:rPr>
      </w:pPr>
    </w:p>
    <w:p>
      <w:pPr>
        <w:rPr>
          <w:bCs/>
        </w:rPr>
      </w:pPr>
    </w:p>
    <w:p>
      <w:pPr>
        <w:pStyle w:val="8"/>
        <w:rPr>
          <w:bCs/>
        </w:rPr>
      </w:pPr>
    </w:p>
    <w:p>
      <w:pPr>
        <w:rPr>
          <w:bCs/>
        </w:rPr>
      </w:pPr>
    </w:p>
    <w:p>
      <w:pPr>
        <w:pStyle w:val="8"/>
      </w:pPr>
    </w:p>
    <w:p>
      <w:pPr>
        <w:rPr>
          <w:bCs/>
          <w:color w:val="000000" w:themeColor="text1"/>
          <w:sz w:val="24"/>
          <w14:textFill>
            <w14:solidFill>
              <w14:schemeClr w14:val="tx1"/>
            </w14:solidFill>
          </w14:textFill>
        </w:rPr>
      </w:pPr>
    </w:p>
    <w:p>
      <w:pPr>
        <w:pStyle w:val="8"/>
        <w:rPr>
          <w:bCs/>
          <w:color w:val="000000" w:themeColor="text1"/>
          <w14:textFill>
            <w14:solidFill>
              <w14:schemeClr w14:val="tx1"/>
            </w14:solidFill>
          </w14:textFill>
        </w:rPr>
      </w:pPr>
    </w:p>
    <w:p>
      <w:pPr>
        <w:rPr>
          <w:bCs/>
          <w:color w:val="000000" w:themeColor="text1"/>
          <w:sz w:val="24"/>
          <w14:textFill>
            <w14:solidFill>
              <w14:schemeClr w14:val="tx1"/>
            </w14:solidFill>
          </w14:textFill>
        </w:rPr>
      </w:pPr>
    </w:p>
    <w:p>
      <w:pPr>
        <w:rPr>
          <w:bCs/>
          <w:color w:val="000000" w:themeColor="text1"/>
          <w:sz w:val="24"/>
          <w14:textFill>
            <w14:solidFill>
              <w14:schemeClr w14:val="tx1"/>
            </w14:solidFill>
          </w14:textFill>
        </w:rPr>
      </w:pPr>
    </w:p>
    <w:p>
      <w:pPr>
        <w:pStyle w:val="8"/>
        <w:rPr>
          <w:bCs/>
          <w:color w:val="000000" w:themeColor="text1"/>
          <w14:textFill>
            <w14:solidFill>
              <w14:schemeClr w14:val="tx1"/>
            </w14:solidFill>
          </w14:textFill>
        </w:rPr>
      </w:pPr>
    </w:p>
    <w:p>
      <w:pPr>
        <w:rPr>
          <w:bCs/>
          <w:color w:val="000000" w:themeColor="text1"/>
          <w:sz w:val="24"/>
          <w14:textFill>
            <w14:solidFill>
              <w14:schemeClr w14:val="tx1"/>
            </w14:solidFill>
          </w14:textFill>
        </w:rPr>
      </w:pPr>
    </w:p>
    <w:p>
      <w:pPr>
        <w:pStyle w:val="8"/>
      </w:pPr>
    </w:p>
    <w:p>
      <w:pPr>
        <w:widowControl/>
        <w:jc w:val="left"/>
        <w:rPr>
          <w:b/>
          <w:bCs/>
          <w:color w:val="000000" w:themeColor="text1"/>
          <w:kern w:val="44"/>
          <w:sz w:val="44"/>
          <w:szCs w:val="44"/>
          <w14:textFill>
            <w14:solidFill>
              <w14:schemeClr w14:val="tx1"/>
            </w14:solidFill>
          </w14:textFill>
        </w:rPr>
      </w:pPr>
      <w:r>
        <w:rPr>
          <w:color w:val="000000" w:themeColor="text1"/>
          <w14:textFill>
            <w14:solidFill>
              <w14:schemeClr w14:val="tx1"/>
            </w14:solidFill>
          </w14:textFill>
        </w:rPr>
        <w:br w:type="page"/>
      </w:r>
    </w:p>
    <w:p>
      <w:pPr>
        <w:pStyle w:val="2"/>
        <w:rPr>
          <w:sz w:val="24"/>
        </w:rPr>
      </w:pPr>
      <w:bookmarkStart w:id="28" w:name="_Toc12046"/>
      <w:r>
        <w:rPr>
          <w:rFonts w:hint="eastAsia"/>
        </w:rPr>
        <w:t>第四部分</w:t>
      </w:r>
      <w:r>
        <w:t xml:space="preserve"> </w:t>
      </w:r>
      <w:r>
        <w:rPr>
          <w:rFonts w:hint="eastAsia"/>
        </w:rPr>
        <w:t>商务条款</w:t>
      </w:r>
      <w:bookmarkEnd w:id="25"/>
      <w:bookmarkEnd w:id="28"/>
    </w:p>
    <w:p>
      <w:pPr>
        <w:keepNext/>
        <w:keepLines/>
        <w:snapToGrid w:val="0"/>
        <w:spacing w:line="360" w:lineRule="auto"/>
        <w:outlineLvl w:val="1"/>
        <w:rPr>
          <w:rFonts w:ascii="宋体" w:hAnsi="宋体" w:cs="宋体"/>
          <w:b/>
          <w:bCs/>
          <w:sz w:val="24"/>
        </w:rPr>
      </w:pPr>
      <w:bookmarkStart w:id="29" w:name="_Toc92197622"/>
      <w:bookmarkStart w:id="30" w:name="_Toc18658"/>
      <w:bookmarkStart w:id="31" w:name="_Hlk41943568"/>
      <w:r>
        <w:rPr>
          <w:rFonts w:hint="eastAsia" w:ascii="宋体" w:hAnsi="宋体" w:cs="宋体"/>
          <w:b/>
          <w:bCs/>
          <w:sz w:val="24"/>
        </w:rPr>
        <w:t>一、</w:t>
      </w:r>
      <w:bookmarkEnd w:id="29"/>
      <w:bookmarkEnd w:id="30"/>
      <w:r>
        <w:rPr>
          <w:rFonts w:hint="eastAsia" w:ascii="宋体" w:hAnsi="宋体" w:cs="宋体"/>
          <w:b/>
          <w:bCs/>
          <w:sz w:val="24"/>
        </w:rPr>
        <w:t>收货地址</w:t>
      </w:r>
    </w:p>
    <w:bookmarkEnd w:id="31"/>
    <w:p>
      <w:pPr>
        <w:snapToGrid w:val="0"/>
        <w:spacing w:line="360" w:lineRule="auto"/>
        <w:ind w:firstLine="480" w:firstLineChars="200"/>
        <w:rPr>
          <w:rFonts w:ascii="宋体" w:hAnsi="宋体" w:cs="宋体"/>
          <w:sz w:val="24"/>
        </w:rPr>
      </w:pPr>
      <w:r>
        <w:rPr>
          <w:rFonts w:hint="eastAsia" w:ascii="宋体" w:hAnsi="宋体" w:cs="宋体"/>
          <w:sz w:val="24"/>
        </w:rPr>
        <w:t>南通大学</w:t>
      </w:r>
      <w:r>
        <w:rPr>
          <w:rFonts w:hint="eastAsia" w:ascii="宋体" w:hAnsi="宋体" w:cs="宋体"/>
          <w:sz w:val="24"/>
          <w:lang w:val="en-US" w:eastAsia="zh-CN"/>
        </w:rPr>
        <w:t>指定</w:t>
      </w:r>
      <w:r>
        <w:rPr>
          <w:rFonts w:hint="eastAsia" w:ascii="宋体" w:hAnsi="宋体" w:cs="宋体"/>
          <w:sz w:val="24"/>
        </w:rPr>
        <w:t>地点。</w:t>
      </w:r>
    </w:p>
    <w:p>
      <w:pPr>
        <w:keepNext/>
        <w:keepLines/>
        <w:snapToGrid w:val="0"/>
        <w:spacing w:line="360" w:lineRule="auto"/>
        <w:outlineLvl w:val="1"/>
        <w:rPr>
          <w:rFonts w:ascii="宋体" w:hAnsi="宋体" w:cs="宋体"/>
          <w:b/>
          <w:bCs/>
          <w:sz w:val="24"/>
        </w:rPr>
      </w:pPr>
      <w:bookmarkStart w:id="32" w:name="_Toc92197626"/>
      <w:bookmarkStart w:id="33" w:name="_Toc4503"/>
      <w:bookmarkStart w:id="34" w:name="_Hlk41983849"/>
      <w:r>
        <w:rPr>
          <w:rFonts w:hint="eastAsia" w:ascii="宋体" w:hAnsi="宋体" w:cs="宋体"/>
          <w:b/>
          <w:bCs/>
          <w:sz w:val="24"/>
        </w:rPr>
        <w:t>二、付款方式</w:t>
      </w:r>
      <w:bookmarkEnd w:id="32"/>
      <w:bookmarkEnd w:id="33"/>
    </w:p>
    <w:bookmarkEnd w:id="34"/>
    <w:p>
      <w:pPr>
        <w:snapToGrid w:val="0"/>
        <w:spacing w:line="360" w:lineRule="auto"/>
        <w:ind w:firstLine="480" w:firstLineChars="200"/>
        <w:rPr>
          <w:rFonts w:hint="eastAsia" w:ascii="宋体" w:hAnsi="宋体" w:cs="宋体"/>
          <w:sz w:val="24"/>
        </w:rPr>
      </w:pPr>
      <w:r>
        <w:rPr>
          <w:rFonts w:hint="eastAsia" w:ascii="宋体" w:hAnsi="宋体" w:cs="宋体"/>
          <w:sz w:val="24"/>
          <w:lang w:val="en-US" w:eastAsia="zh-CN"/>
        </w:rPr>
        <w:t>服务费</w:t>
      </w:r>
      <w:bookmarkStart w:id="72" w:name="_GoBack"/>
      <w:bookmarkEnd w:id="72"/>
      <w:r>
        <w:rPr>
          <w:rFonts w:hint="eastAsia" w:ascii="宋体" w:hAnsi="宋体" w:cs="宋体"/>
          <w:sz w:val="24"/>
          <w:lang w:val="en-US" w:eastAsia="zh-CN"/>
        </w:rPr>
        <w:t>一年一付，</w:t>
      </w:r>
      <w:r>
        <w:rPr>
          <w:rFonts w:hint="eastAsia" w:ascii="宋体" w:hAnsi="宋体" w:cs="宋体"/>
          <w:sz w:val="24"/>
        </w:rPr>
        <w:t>合同有效期三年。</w:t>
      </w:r>
    </w:p>
    <w:p>
      <w:pPr>
        <w:widowControl/>
        <w:jc w:val="left"/>
        <w:rPr>
          <w:b/>
          <w:i/>
          <w:color w:val="000000" w:themeColor="text1"/>
          <w:sz w:val="24"/>
          <w14:textFill>
            <w14:solidFill>
              <w14:schemeClr w14:val="tx1"/>
            </w14:solidFill>
          </w14:textFill>
        </w:rPr>
      </w:pPr>
      <w:r>
        <w:rPr>
          <w:b/>
          <w:i/>
          <w:color w:val="000000" w:themeColor="text1"/>
          <w:sz w:val="24"/>
          <w14:textFill>
            <w14:solidFill>
              <w14:schemeClr w14:val="tx1"/>
            </w14:solidFill>
          </w14:textFill>
        </w:rPr>
        <w:br w:type="page"/>
      </w:r>
    </w:p>
    <w:p>
      <w:bookmarkStart w:id="35" w:name="_Toc135926845"/>
    </w:p>
    <w:p>
      <w:pPr>
        <w:pStyle w:val="2"/>
        <w:rPr>
          <w:spacing w:val="4"/>
          <w:sz w:val="24"/>
        </w:rPr>
      </w:pPr>
      <w:bookmarkStart w:id="36" w:name="_Toc3448"/>
      <w:r>
        <w:t>第五部分 附  件</w:t>
      </w:r>
      <w:bookmarkEnd w:id="35"/>
      <w:bookmarkEnd w:id="36"/>
    </w:p>
    <w:p>
      <w:pPr>
        <w:spacing w:line="360" w:lineRule="auto"/>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t>附件1：投标函</w:t>
      </w:r>
    </w:p>
    <w:p>
      <w:pPr>
        <w:spacing w:line="360" w:lineRule="auto"/>
        <w:rPr>
          <w:color w:val="000000" w:themeColor="text1"/>
          <w:spacing w:val="4"/>
          <w:sz w:val="24"/>
          <w14:textFill>
            <w14:solidFill>
              <w14:schemeClr w14:val="tx1"/>
            </w14:solidFill>
          </w14:textFill>
        </w:rPr>
      </w:pPr>
      <w:r>
        <w:rPr>
          <w:color w:val="000000" w:themeColor="text1"/>
          <w:spacing w:val="4"/>
          <w:sz w:val="24"/>
          <w14:textFill>
            <w14:solidFill>
              <w14:schemeClr w14:val="tx1"/>
            </w14:solidFill>
          </w14:textFill>
        </w:rPr>
        <w:t>附件2：投标报价总表</w:t>
      </w:r>
    </w:p>
    <w:p>
      <w:pPr>
        <w:spacing w:line="360" w:lineRule="auto"/>
        <w:outlineLvl w:val="1"/>
        <w:rPr>
          <w:color w:val="000000" w:themeColor="text1"/>
          <w:sz w:val="24"/>
          <w14:textFill>
            <w14:solidFill>
              <w14:schemeClr w14:val="tx1"/>
            </w14:solidFill>
          </w14:textFill>
        </w:rPr>
      </w:pPr>
      <w:bookmarkStart w:id="37" w:name="_Toc20631"/>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4</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法定代表人资格证明</w:t>
      </w:r>
      <w:bookmarkEnd w:id="37"/>
    </w:p>
    <w:p>
      <w:pPr>
        <w:spacing w:line="360" w:lineRule="auto"/>
        <w:rPr>
          <w:color w:val="000000" w:themeColor="text1"/>
          <w:sz w:val="24"/>
          <w14:textFill>
            <w14:solidFill>
              <w14:schemeClr w14:val="tx1"/>
            </w14:solidFill>
          </w14:textFill>
        </w:rPr>
      </w:pPr>
      <w:r>
        <w:rPr>
          <w:color w:val="000000" w:themeColor="text1"/>
          <w:spacing w:val="4"/>
          <w:sz w:val="24"/>
          <w14:textFill>
            <w14:solidFill>
              <w14:schemeClr w14:val="tx1"/>
            </w14:solidFill>
          </w14:textFill>
        </w:rPr>
        <w:t>附件</w:t>
      </w:r>
      <w:r>
        <w:rPr>
          <w:rFonts w:hint="eastAsia"/>
          <w:color w:val="000000" w:themeColor="text1"/>
          <w:spacing w:val="4"/>
          <w:sz w:val="24"/>
          <w14:textFill>
            <w14:solidFill>
              <w14:schemeClr w14:val="tx1"/>
            </w14:solidFill>
          </w14:textFill>
        </w:rPr>
        <w:t>5</w:t>
      </w:r>
      <w:r>
        <w:rPr>
          <w:color w:val="000000" w:themeColor="text1"/>
          <w:spacing w:val="4"/>
          <w:sz w:val="24"/>
          <w14:textFill>
            <w14:solidFill>
              <w14:schemeClr w14:val="tx1"/>
            </w14:solidFill>
          </w14:textFill>
        </w:rPr>
        <w:t>：</w:t>
      </w:r>
      <w:r>
        <w:rPr>
          <w:color w:val="000000" w:themeColor="text1"/>
          <w:sz w:val="24"/>
          <w14:textFill>
            <w14:solidFill>
              <w14:schemeClr w14:val="tx1"/>
            </w14:solidFill>
          </w14:textFill>
        </w:rPr>
        <w:t>法定代表人授权书</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附件6：南通大学采购谈判二次报价单</w:t>
      </w:r>
    </w:p>
    <w:p>
      <w:pPr>
        <w:spacing w:line="360" w:lineRule="auto"/>
        <w:rPr>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附件7：</w:t>
      </w:r>
      <w:r>
        <w:rPr>
          <w:rFonts w:cs="宋体"/>
          <w:color w:val="000000" w:themeColor="text1"/>
          <w:sz w:val="24"/>
          <w14:textFill>
            <w14:solidFill>
              <w14:schemeClr w14:val="tx1"/>
            </w14:solidFill>
          </w14:textFill>
        </w:rPr>
        <w:t>无重大违法记录声明</w:t>
      </w:r>
    </w:p>
    <w:p>
      <w:pPr>
        <w:spacing w:line="360" w:lineRule="auto"/>
        <w:jc w:val="left"/>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附件8：诚信承诺书</w:t>
      </w:r>
    </w:p>
    <w:p>
      <w:pPr>
        <w:spacing w:line="360" w:lineRule="auto"/>
        <w:rPr>
          <w:color w:val="000000" w:themeColor="text1"/>
          <w:sz w:val="24"/>
          <w14:textFill>
            <w14:solidFill>
              <w14:schemeClr w14:val="tx1"/>
            </w14:solidFill>
          </w14:textFill>
        </w:rPr>
      </w:pPr>
    </w:p>
    <w:p>
      <w:pPr>
        <w:widowControl/>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r>
    </w:p>
    <w:p>
      <w:pPr>
        <w:pStyle w:val="3"/>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38" w:name="_Toc135926846"/>
      <w:bookmarkStart w:id="39" w:name="_Toc121235161"/>
      <w:bookmarkStart w:id="40" w:name="_Toc4834"/>
      <w:bookmarkStart w:id="41" w:name="_Toc120889951"/>
      <w:r>
        <w:rPr>
          <w:rFonts w:hint="eastAsia" w:ascii="Times New Roman" w:hAnsi="Times New Roman"/>
          <w:b w:val="0"/>
          <w:color w:val="000000" w:themeColor="text1"/>
          <w:sz w:val="24"/>
          <w:szCs w:val="24"/>
          <w14:textFill>
            <w14:solidFill>
              <w14:schemeClr w14:val="tx1"/>
            </w14:solidFill>
          </w14:textFill>
        </w:rPr>
        <w:t>附件</w:t>
      </w:r>
      <w:r>
        <w:rPr>
          <w:rFonts w:ascii="Times New Roman" w:hAnsi="Times New Roman"/>
          <w:b w:val="0"/>
          <w:color w:val="000000" w:themeColor="text1"/>
          <w:sz w:val="24"/>
          <w:szCs w:val="24"/>
          <w14:textFill>
            <w14:solidFill>
              <w14:schemeClr w14:val="tx1"/>
            </w14:solidFill>
          </w14:textFill>
        </w:rPr>
        <w:t>1</w:t>
      </w:r>
      <w:r>
        <w:rPr>
          <w:rFonts w:hint="eastAsia" w:ascii="Times New Roman" w:hAnsi="Times New Roman"/>
          <w:b w:val="0"/>
          <w:color w:val="000000" w:themeColor="text1"/>
          <w:sz w:val="24"/>
          <w:szCs w:val="24"/>
          <w14:textFill>
            <w14:solidFill>
              <w14:schemeClr w14:val="tx1"/>
            </w14:solidFill>
          </w14:textFill>
        </w:rPr>
        <w:t>：投标承诺函</w:t>
      </w:r>
      <w:bookmarkEnd w:id="38"/>
      <w:bookmarkEnd w:id="39"/>
      <w:bookmarkEnd w:id="40"/>
      <w:bookmarkEnd w:id="41"/>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outlineLvl w:val="1"/>
        <w:rPr>
          <w:rFonts w:ascii="宋体" w:hAnsi="宋体"/>
          <w:color w:val="000000" w:themeColor="text1"/>
          <w:sz w:val="24"/>
          <w14:textFill>
            <w14:solidFill>
              <w14:schemeClr w14:val="tx1"/>
            </w14:solidFill>
          </w14:textFill>
        </w:rPr>
      </w:pPr>
      <w:bookmarkStart w:id="42" w:name="_Toc20671"/>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bookmarkEnd w:id="42"/>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outlineLvl w:val="1"/>
        <w:rPr>
          <w:rFonts w:ascii="宋体" w:hAnsi="宋体"/>
          <w:color w:val="000000" w:themeColor="text1"/>
          <w:sz w:val="24"/>
          <w14:textFill>
            <w14:solidFill>
              <w14:schemeClr w14:val="tx1"/>
            </w14:solidFill>
          </w14:textFill>
        </w:rPr>
      </w:pPr>
      <w:bookmarkStart w:id="43" w:name="_Toc20959"/>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bookmarkEnd w:id="43"/>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footerReference r:id="rId3" w:type="default"/>
          <w:footerReference r:id="rId4" w:type="even"/>
          <w:pgSz w:w="11906" w:h="16838"/>
          <w:pgMar w:top="1440" w:right="1077" w:bottom="1440" w:left="1077" w:header="851" w:footer="992" w:gutter="0"/>
          <w:pgNumType w:start="0"/>
          <w:cols w:space="425" w:num="1"/>
          <w:titlePg/>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3"/>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44" w:name="_Toc905"/>
      <w:bookmarkStart w:id="45" w:name="_Toc135926847"/>
      <w:r>
        <w:rPr>
          <w:rFonts w:ascii="Times New Roman" w:hAnsi="Times New Roman"/>
          <w:b w:val="0"/>
          <w:color w:val="000000" w:themeColor="text1"/>
          <w:sz w:val="24"/>
          <w:szCs w:val="24"/>
          <w14:textFill>
            <w14:solidFill>
              <w14:schemeClr w14:val="tx1"/>
            </w14:solidFill>
          </w14:textFill>
        </w:rPr>
        <w:t>附件2</w:t>
      </w:r>
      <w:r>
        <w:rPr>
          <w:rFonts w:hint="eastAsia" w:ascii="Times New Roman" w:hAnsi="Times New Roman"/>
          <w:b w:val="0"/>
          <w:color w:val="000000" w:themeColor="text1"/>
          <w:sz w:val="24"/>
          <w:szCs w:val="24"/>
          <w14:textFill>
            <w14:solidFill>
              <w14:schemeClr w14:val="tx1"/>
            </w14:solidFill>
          </w14:textFill>
        </w:rPr>
        <w:t>：投标报价总表</w:t>
      </w:r>
      <w:bookmarkEnd w:id="44"/>
      <w:bookmarkEnd w:id="45"/>
    </w:p>
    <w:p>
      <w:pPr>
        <w:snapToGrid w:val="0"/>
        <w:spacing w:line="360" w:lineRule="auto"/>
        <w:ind w:right="-351" w:rightChars="-167" w:firstLine="5251" w:firstLineChars="1453"/>
        <w:rPr>
          <w:b/>
          <w:color w:val="000000" w:themeColor="text1"/>
          <w:sz w:val="36"/>
          <w:szCs w:val="36"/>
          <w14:textFill>
            <w14:solidFill>
              <w14:schemeClr w14:val="tx1"/>
            </w14:solidFill>
          </w14:textFill>
        </w:rPr>
      </w:pPr>
      <w:r>
        <w:rPr>
          <w:b/>
          <w:color w:val="000000" w:themeColor="text1"/>
          <w:sz w:val="36"/>
          <w:szCs w:val="36"/>
          <w14:textFill>
            <w14:solidFill>
              <w14:schemeClr w14:val="tx1"/>
            </w14:solidFill>
          </w14:textFill>
        </w:rPr>
        <w:t>投 标 报 价 总 表</w:t>
      </w:r>
    </w:p>
    <w:tbl>
      <w:tblPr>
        <w:tblStyle w:val="21"/>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0"/>
        <w:gridCol w:w="768"/>
        <w:gridCol w:w="850"/>
        <w:gridCol w:w="644"/>
        <w:gridCol w:w="2371"/>
        <w:gridCol w:w="2357"/>
        <w:gridCol w:w="683"/>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668" w:type="dxa"/>
            <w:gridSpan w:val="2"/>
            <w:vAlign w:val="center"/>
          </w:tcPr>
          <w:p>
            <w:pPr>
              <w:spacing w:line="360" w:lineRule="auto"/>
              <w:jc w:val="center"/>
              <w:rPr>
                <w:b/>
                <w:color w:val="000000" w:themeColor="text1"/>
                <w:szCs w:val="21"/>
                <w14:textFill>
                  <w14:solidFill>
                    <w14:schemeClr w14:val="tx1"/>
                  </w14:solidFill>
                </w14:textFill>
              </w:rPr>
            </w:pPr>
            <w:r>
              <w:rPr>
                <w:b/>
                <w:color w:val="000000" w:themeColor="text1"/>
                <w:sz w:val="24"/>
                <w14:textFill>
                  <w14:solidFill>
                    <w14:schemeClr w14:val="tx1"/>
                  </w14:solidFill>
                </w14:textFill>
              </w:rPr>
              <w:t>项目名称</w:t>
            </w:r>
          </w:p>
        </w:tc>
        <w:tc>
          <w:tcPr>
            <w:tcW w:w="6222" w:type="dxa"/>
            <w:gridSpan w:val="4"/>
            <w:vAlign w:val="center"/>
          </w:tcPr>
          <w:p>
            <w:pPr>
              <w:spacing w:line="360" w:lineRule="auto"/>
              <w:jc w:val="center"/>
              <w:rPr>
                <w:b/>
                <w:color w:val="000000" w:themeColor="text1"/>
                <w:szCs w:val="21"/>
                <w14:textFill>
                  <w14:solidFill>
                    <w14:schemeClr w14:val="tx1"/>
                  </w14:solidFill>
                </w14:textFill>
              </w:rPr>
            </w:pPr>
          </w:p>
        </w:tc>
        <w:tc>
          <w:tcPr>
            <w:tcW w:w="1659" w:type="dxa"/>
            <w:gridSpan w:val="2"/>
            <w:vAlign w:val="center"/>
          </w:tcPr>
          <w:p>
            <w:pPr>
              <w:spacing w:line="360" w:lineRule="auto"/>
              <w:jc w:val="center"/>
              <w:rPr>
                <w:b/>
                <w:color w:val="000000" w:themeColor="text1"/>
                <w:szCs w:val="21"/>
                <w14:textFill>
                  <w14:solidFill>
                    <w14:schemeClr w14:val="tx1"/>
                  </w14:solidFill>
                </w14:textFill>
              </w:rPr>
            </w:pPr>
            <w:r>
              <w:rPr>
                <w:b/>
                <w:color w:val="000000" w:themeColor="text1"/>
                <w:sz w:val="24"/>
                <w14:textFill>
                  <w14:solidFill>
                    <w14:schemeClr w14:val="tx1"/>
                  </w14:solidFill>
                </w14:textFill>
              </w:rPr>
              <w:t>项目编号</w:t>
            </w:r>
          </w:p>
        </w:tc>
        <w:tc>
          <w:tcPr>
            <w:tcW w:w="4625" w:type="dxa"/>
            <w:gridSpan w:val="4"/>
            <w:vAlign w:val="center"/>
          </w:tcPr>
          <w:p>
            <w:pPr>
              <w:spacing w:line="360" w:lineRule="auto"/>
              <w:jc w:val="center"/>
              <w:rPr>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序号</w:t>
            </w:r>
          </w:p>
        </w:tc>
        <w:tc>
          <w:tcPr>
            <w:tcW w:w="2262" w:type="dxa"/>
            <w:gridSpan w:val="3"/>
            <w:vAlign w:val="center"/>
          </w:tcPr>
          <w:p>
            <w:pPr>
              <w:spacing w:line="360" w:lineRule="auto"/>
              <w:jc w:val="center"/>
              <w:rPr>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服务</w:t>
            </w:r>
            <w:r>
              <w:rPr>
                <w:b/>
                <w:color w:val="000000" w:themeColor="text1"/>
                <w:szCs w:val="21"/>
                <w14:textFill>
                  <w14:solidFill>
                    <w14:schemeClr w14:val="tx1"/>
                  </w14:solidFill>
                </w14:textFill>
              </w:rPr>
              <w:t>名称</w:t>
            </w:r>
          </w:p>
        </w:tc>
        <w:tc>
          <w:tcPr>
            <w:tcW w:w="2371" w:type="dxa"/>
            <w:vAlign w:val="center"/>
          </w:tcPr>
          <w:p>
            <w:pPr>
              <w:spacing w:line="360" w:lineRule="auto"/>
              <w:jc w:val="center"/>
              <w:rPr>
                <w:b/>
                <w:color w:val="000000" w:themeColor="text1"/>
                <w:szCs w:val="21"/>
                <w14:textFill>
                  <w14:solidFill>
                    <w14:schemeClr w14:val="tx1"/>
                  </w14:solidFill>
                </w14:textFill>
              </w:rPr>
            </w:pPr>
          </w:p>
        </w:tc>
        <w:tc>
          <w:tcPr>
            <w:tcW w:w="2357" w:type="dxa"/>
            <w:vAlign w:val="center"/>
          </w:tcPr>
          <w:p>
            <w:pPr>
              <w:spacing w:line="360" w:lineRule="auto"/>
              <w:jc w:val="center"/>
              <w:rPr>
                <w:b/>
                <w:color w:val="000000" w:themeColor="text1"/>
                <w:szCs w:val="21"/>
                <w14:textFill>
                  <w14:solidFill>
                    <w14:schemeClr w14:val="tx1"/>
                  </w14:solidFill>
                </w14:textFill>
              </w:rPr>
            </w:pPr>
          </w:p>
        </w:tc>
        <w:tc>
          <w:tcPr>
            <w:tcW w:w="683"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数量</w:t>
            </w:r>
          </w:p>
        </w:tc>
        <w:tc>
          <w:tcPr>
            <w:tcW w:w="976"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货币</w:t>
            </w:r>
          </w:p>
        </w:tc>
        <w:tc>
          <w:tcPr>
            <w:tcW w:w="1191"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单价（元）</w:t>
            </w:r>
          </w:p>
        </w:tc>
        <w:tc>
          <w:tcPr>
            <w:tcW w:w="1192"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总价（元）</w:t>
            </w:r>
          </w:p>
        </w:tc>
        <w:tc>
          <w:tcPr>
            <w:tcW w:w="935"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保修期</w:t>
            </w:r>
          </w:p>
        </w:tc>
        <w:tc>
          <w:tcPr>
            <w:tcW w:w="1307" w:type="dxa"/>
            <w:vAlign w:val="center"/>
          </w:tcPr>
          <w:p>
            <w:pPr>
              <w:spacing w:line="360" w:lineRule="auto"/>
              <w:jc w:val="center"/>
              <w:rPr>
                <w:b/>
                <w:color w:val="000000" w:themeColor="text1"/>
                <w:szCs w:val="21"/>
                <w14:textFill>
                  <w14:solidFill>
                    <w14:schemeClr w14:val="tx1"/>
                  </w14:solidFill>
                </w14:textFill>
              </w:rPr>
            </w:pPr>
            <w:r>
              <w:rPr>
                <w:b/>
                <w:color w:val="000000" w:themeColor="text1"/>
                <w:szCs w:val="21"/>
                <w14:textFill>
                  <w14:solidFill>
                    <w14:schemeClr w14:val="tx1"/>
                  </w14:solidFill>
                </w14:textFill>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color w:val="000000" w:themeColor="text1"/>
                <w:sz w:val="24"/>
                <w14:textFill>
                  <w14:solidFill>
                    <w14:schemeClr w14:val="tx1"/>
                  </w14:solidFill>
                </w14:textFill>
              </w:rPr>
            </w:pPr>
          </w:p>
        </w:tc>
        <w:tc>
          <w:tcPr>
            <w:tcW w:w="2262" w:type="dxa"/>
            <w:gridSpan w:val="3"/>
          </w:tcPr>
          <w:p>
            <w:pPr>
              <w:spacing w:line="360" w:lineRule="auto"/>
              <w:rPr>
                <w:color w:val="000000" w:themeColor="text1"/>
                <w:sz w:val="24"/>
                <w14:textFill>
                  <w14:solidFill>
                    <w14:schemeClr w14:val="tx1"/>
                  </w14:solidFill>
                </w14:textFill>
              </w:rPr>
            </w:pPr>
          </w:p>
        </w:tc>
        <w:tc>
          <w:tcPr>
            <w:tcW w:w="2371" w:type="dxa"/>
          </w:tcPr>
          <w:p>
            <w:pPr>
              <w:spacing w:line="360" w:lineRule="auto"/>
              <w:rPr>
                <w:color w:val="000000" w:themeColor="text1"/>
                <w:sz w:val="24"/>
                <w14:textFill>
                  <w14:solidFill>
                    <w14:schemeClr w14:val="tx1"/>
                  </w14:solidFill>
                </w14:textFill>
              </w:rPr>
            </w:pPr>
          </w:p>
        </w:tc>
        <w:tc>
          <w:tcPr>
            <w:tcW w:w="2357" w:type="dxa"/>
          </w:tcPr>
          <w:p>
            <w:pPr>
              <w:spacing w:line="360" w:lineRule="auto"/>
              <w:rPr>
                <w:color w:val="000000" w:themeColor="text1"/>
                <w:sz w:val="24"/>
                <w14:textFill>
                  <w14:solidFill>
                    <w14:schemeClr w14:val="tx1"/>
                  </w14:solidFill>
                </w14:textFill>
              </w:rPr>
            </w:pPr>
          </w:p>
        </w:tc>
        <w:tc>
          <w:tcPr>
            <w:tcW w:w="683" w:type="dxa"/>
          </w:tcPr>
          <w:p>
            <w:pPr>
              <w:spacing w:line="360" w:lineRule="auto"/>
              <w:rPr>
                <w:color w:val="000000" w:themeColor="text1"/>
                <w:sz w:val="24"/>
                <w14:textFill>
                  <w14:solidFill>
                    <w14:schemeClr w14:val="tx1"/>
                  </w14:solidFill>
                </w14:textFill>
              </w:rPr>
            </w:pPr>
          </w:p>
        </w:tc>
        <w:tc>
          <w:tcPr>
            <w:tcW w:w="976" w:type="dxa"/>
          </w:tcPr>
          <w:p>
            <w:pPr>
              <w:spacing w:line="360" w:lineRule="auto"/>
              <w:rPr>
                <w:color w:val="000000" w:themeColor="text1"/>
                <w:sz w:val="24"/>
                <w14:textFill>
                  <w14:solidFill>
                    <w14:schemeClr w14:val="tx1"/>
                  </w14:solidFill>
                </w14:textFill>
              </w:rPr>
            </w:pPr>
          </w:p>
        </w:tc>
        <w:tc>
          <w:tcPr>
            <w:tcW w:w="1191" w:type="dxa"/>
          </w:tcPr>
          <w:p>
            <w:pPr>
              <w:spacing w:line="360" w:lineRule="auto"/>
              <w:rPr>
                <w:color w:val="000000" w:themeColor="text1"/>
                <w:sz w:val="24"/>
                <w14:textFill>
                  <w14:solidFill>
                    <w14:schemeClr w14:val="tx1"/>
                  </w14:solidFill>
                </w14:textFill>
              </w:rPr>
            </w:pPr>
          </w:p>
        </w:tc>
        <w:tc>
          <w:tcPr>
            <w:tcW w:w="1192" w:type="dxa"/>
          </w:tcPr>
          <w:p>
            <w:pPr>
              <w:spacing w:line="360" w:lineRule="auto"/>
              <w:rPr>
                <w:color w:val="000000" w:themeColor="text1"/>
                <w:sz w:val="24"/>
                <w14:textFill>
                  <w14:solidFill>
                    <w14:schemeClr w14:val="tx1"/>
                  </w14:solidFill>
                </w14:textFill>
              </w:rPr>
            </w:pPr>
          </w:p>
        </w:tc>
        <w:tc>
          <w:tcPr>
            <w:tcW w:w="935" w:type="dxa"/>
          </w:tcPr>
          <w:p>
            <w:pPr>
              <w:spacing w:line="360" w:lineRule="auto"/>
              <w:rPr>
                <w:color w:val="000000" w:themeColor="text1"/>
                <w:sz w:val="24"/>
                <w14:textFill>
                  <w14:solidFill>
                    <w14:schemeClr w14:val="tx1"/>
                  </w14:solidFill>
                </w14:textFill>
              </w:rPr>
            </w:pPr>
          </w:p>
        </w:tc>
        <w:tc>
          <w:tcPr>
            <w:tcW w:w="1307" w:type="dxa"/>
          </w:tcPr>
          <w:p>
            <w:pPr>
              <w:spacing w:line="360" w:lineRule="auto"/>
              <w:rPr>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b/>
                <w:color w:val="000000" w:themeColor="text1"/>
                <w:sz w:val="24"/>
                <w14:textFill>
                  <w14:solidFill>
                    <w14:schemeClr w14:val="tx1"/>
                  </w14:solidFill>
                </w14:textFill>
              </w:rPr>
            </w:pPr>
          </w:p>
        </w:tc>
        <w:tc>
          <w:tcPr>
            <w:tcW w:w="2357" w:type="dxa"/>
            <w:vAlign w:val="center"/>
          </w:tcPr>
          <w:p>
            <w:pPr>
              <w:spacing w:line="360" w:lineRule="auto"/>
              <w:jc w:val="center"/>
              <w:rPr>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法定代表人或被授权代表（签字或签章）</w:t>
            </w:r>
          </w:p>
        </w:tc>
        <w:tc>
          <w:tcPr>
            <w:tcW w:w="2850" w:type="dxa"/>
            <w:gridSpan w:val="3"/>
            <w:vAlign w:val="center"/>
          </w:tcPr>
          <w:p>
            <w:pPr>
              <w:spacing w:line="360" w:lineRule="auto"/>
              <w:jc w:val="center"/>
              <w:rPr>
                <w:b/>
                <w:color w:val="000000" w:themeColor="text1"/>
                <w:sz w:val="24"/>
                <w14:textFill>
                  <w14:solidFill>
                    <w14:schemeClr w14:val="tx1"/>
                  </w14:solidFill>
                </w14:textFill>
              </w:rPr>
            </w:pPr>
          </w:p>
        </w:tc>
        <w:tc>
          <w:tcPr>
            <w:tcW w:w="1192" w:type="dxa"/>
            <w:vAlign w:val="center"/>
          </w:tcPr>
          <w:p>
            <w:pPr>
              <w:spacing w:line="360" w:lineRule="auto"/>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日期</w:t>
            </w:r>
          </w:p>
        </w:tc>
        <w:tc>
          <w:tcPr>
            <w:tcW w:w="2242" w:type="dxa"/>
            <w:gridSpan w:val="2"/>
            <w:vAlign w:val="center"/>
          </w:tcPr>
          <w:p>
            <w:pPr>
              <w:spacing w:line="360" w:lineRule="auto"/>
              <w:jc w:val="center"/>
              <w:rPr>
                <w:b/>
                <w:color w:val="000000" w:themeColor="text1"/>
                <w:sz w:val="24"/>
                <w14:textFill>
                  <w14:solidFill>
                    <w14:schemeClr w14:val="tx1"/>
                  </w14:solidFill>
                </w14:textFill>
              </w:rPr>
            </w:pPr>
          </w:p>
        </w:tc>
      </w:tr>
    </w:tbl>
    <w:p>
      <w:pPr>
        <w:snapToGrid w:val="0"/>
        <w:spacing w:line="360" w:lineRule="auto"/>
        <w:ind w:right="-351" w:rightChars="-167"/>
        <w:rPr>
          <w:color w:val="000000" w:themeColor="text1"/>
          <w:spacing w:val="4"/>
          <w:sz w:val="24"/>
          <w14:textFill>
            <w14:solidFill>
              <w14:schemeClr w14:val="tx1"/>
            </w14:solidFill>
          </w14:textFill>
        </w:rPr>
      </w:pPr>
    </w:p>
    <w:p>
      <w:pPr>
        <w:pStyle w:val="8"/>
      </w:pPr>
    </w:p>
    <w:p>
      <w:pPr>
        <w:spacing w:line="360" w:lineRule="auto"/>
        <w:rPr>
          <w:color w:val="000000" w:themeColor="text1"/>
          <w:sz w:val="24"/>
          <w14:textFill>
            <w14:solidFill>
              <w14:schemeClr w14:val="tx1"/>
            </w14:solidFill>
          </w14:textFill>
        </w:rPr>
        <w:sectPr>
          <w:footerReference r:id="rId7" w:type="first"/>
          <w:footerReference r:id="rId5" w:type="default"/>
          <w:footerReference r:id="rId6" w:type="even"/>
          <w:pgSz w:w="16838" w:h="11906" w:orient="landscape"/>
          <w:pgMar w:top="1644" w:right="1440" w:bottom="1644" w:left="1440" w:header="851" w:footer="992" w:gutter="0"/>
          <w:cols w:space="425" w:num="1"/>
          <w:docGrid w:type="lines" w:linePitch="312" w:charSpace="0"/>
        </w:sectPr>
      </w:pPr>
    </w:p>
    <w:p>
      <w:pPr>
        <w:pStyle w:val="3"/>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46" w:name="_Toc30961"/>
      <w:bookmarkStart w:id="47" w:name="_Toc135926850"/>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3：</w:t>
      </w:r>
      <w:r>
        <w:rPr>
          <w:rFonts w:ascii="Times New Roman" w:hAnsi="Times New Roman"/>
          <w:b w:val="0"/>
          <w:color w:val="000000" w:themeColor="text1"/>
          <w:sz w:val="24"/>
          <w:szCs w:val="24"/>
          <w14:textFill>
            <w14:solidFill>
              <w14:schemeClr w14:val="tx1"/>
            </w14:solidFill>
          </w14:textFill>
        </w:rPr>
        <w:t>法定代表人资格证明</w:t>
      </w:r>
      <w:bookmarkEnd w:id="46"/>
      <w:bookmarkEnd w:id="47"/>
    </w:p>
    <w:p>
      <w:pPr>
        <w:spacing w:before="312" w:beforeLines="100" w:after="312" w:afterLines="100" w:line="360" w:lineRule="auto"/>
        <w:jc w:val="center"/>
        <w:rPr>
          <w:b/>
          <w:color w:val="000000" w:themeColor="text1"/>
          <w:sz w:val="44"/>
          <w:szCs w:val="44"/>
          <w14:textFill>
            <w14:solidFill>
              <w14:schemeClr w14:val="tx1"/>
            </w14:solidFill>
          </w14:textFill>
        </w:rPr>
      </w:pPr>
      <w:r>
        <w:rPr>
          <w:b/>
          <w:color w:val="000000" w:themeColor="text1"/>
          <w:sz w:val="44"/>
          <w:szCs w:val="44"/>
          <w14:textFill>
            <w14:solidFill>
              <w14:schemeClr w14:val="tx1"/>
            </w14:solidFill>
          </w14:textFill>
        </w:rPr>
        <w:t>法定代表人资格证明</w:t>
      </w:r>
    </w:p>
    <w:p>
      <w:pPr>
        <w:spacing w:after="312" w:afterLines="100" w:line="480" w:lineRule="auto"/>
        <w:ind w:left="-136" w:right="-351" w:rightChars="-167"/>
        <w:rPr>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姓名：</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性别：</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身份证号码：</w:t>
      </w:r>
      <w:r>
        <w:rPr>
          <w:color w:val="000000" w:themeColor="text1"/>
          <w:kern w:val="0"/>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系我公司的法</w:t>
      </w:r>
      <w:r>
        <w:rPr>
          <w:color w:val="000000" w:themeColor="text1"/>
          <w:kern w:val="0"/>
          <w:sz w:val="28"/>
          <w:szCs w:val="28"/>
          <w14:textFill>
            <w14:solidFill>
              <w14:schemeClr w14:val="tx1"/>
            </w14:solidFill>
          </w14:textFill>
        </w:rPr>
        <w:t>定代表人，</w:t>
      </w:r>
      <w:r>
        <w:rPr>
          <w:color w:val="000000" w:themeColor="text1"/>
          <w:sz w:val="28"/>
          <w:szCs w:val="28"/>
          <w14:textFill>
            <w14:solidFill>
              <w14:schemeClr w14:val="tx1"/>
            </w14:solidFill>
          </w14:textFill>
        </w:rPr>
        <w:t>参加南通大学</w:t>
      </w:r>
      <w:r>
        <w:rPr>
          <w:color w:val="000000" w:themeColor="text1"/>
          <w:sz w:val="28"/>
          <w:szCs w:val="28"/>
          <w:u w:val="single"/>
          <w14:textFill>
            <w14:solidFill>
              <w14:schemeClr w14:val="tx1"/>
            </w14:solidFill>
          </w14:textFill>
        </w:rPr>
        <w:t>（项目名称及编号）</w:t>
      </w:r>
      <w:r>
        <w:rPr>
          <w:color w:val="000000" w:themeColor="text1"/>
          <w:sz w:val="28"/>
          <w:szCs w:val="28"/>
          <w14:textFill>
            <w14:solidFill>
              <w14:schemeClr w14:val="tx1"/>
            </w14:solidFill>
          </w14:textFill>
        </w:rPr>
        <w:t>的投标，</w:t>
      </w:r>
      <w:r>
        <w:rPr>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投标人名称：</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日期：</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年</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月</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日</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p>
    <w:p>
      <w:pPr>
        <w:pStyle w:val="3"/>
        <w:spacing w:before="260" w:beforeAutospacing="0" w:after="260" w:afterAutospacing="0" w:line="416" w:lineRule="auto"/>
        <w:rPr>
          <w:rFonts w:ascii="Times New Roman" w:hAnsi="Times New Roman"/>
          <w:color w:val="000000" w:themeColor="text1"/>
          <w:kern w:val="0"/>
          <w:sz w:val="28"/>
          <w:szCs w:val="28"/>
          <w14:textFill>
            <w14:solidFill>
              <w14:schemeClr w14:val="tx1"/>
            </w14:solidFill>
          </w14:textFill>
        </w:rPr>
      </w:pPr>
      <w:bookmarkStart w:id="48" w:name="_Toc135926851"/>
      <w:bookmarkStart w:id="49" w:name="_Toc8242"/>
      <w:r>
        <w:rPr>
          <w:rFonts w:ascii="Times New Roman" w:hAnsi="Times New Roman"/>
          <w:color w:val="000000" w:themeColor="text1"/>
          <w:sz w:val="30"/>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23.05pt;height:155.4pt;width:228.8pt;z-index:251660288;mso-width-relative:page;mso-height-relative:page;" fillcolor="#FFFFFF" filled="t" stroked="t" coordsize="21600,21600" o:gfxdata="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MN4kraAAAACgEAAA8AAAAAAAAAAQAgAAAAIgAAAGRycy9kb3ducmV2&#10;LnhtbFBLAQIUABQAAAAIAIdO4kA9ar4qMwIAAIgEAAAOAAAAAAAAAAEAIAAAACkBAABkcnMvZTJv&#10;RG9jLnhtbFBLBQYAAAAABgAGAFkBAADO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法定代表人身份证复印件粘贴处（反面）</w:t>
                      </w:r>
                    </w:p>
                  </w:txbxContent>
                </v:textbox>
              </v:shape>
            </w:pict>
          </mc:Fallback>
        </mc:AlternateContent>
      </w:r>
      <w:r>
        <w:rPr>
          <w:rFonts w:ascii="Times New Roman" w:hAnsi="Times New Roman"/>
          <w:color w:val="000000" w:themeColor="text1"/>
          <w:sz w:val="30"/>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23.25pt;height:155.4pt;width:228.8pt;z-index:251659264;mso-width-relative:page;mso-height-relative:page;" fillcolor="#FFFFFF" filled="t" stroked="t" coordsize="21600,21600" o:gfxdata="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fTWVI2QAAAAkBAAAPAAAAAAAAAAEAIAAAACIAAABkcnMvZG93bnJldi54&#10;bWxQSwECFAAUAAAACACHTuJAM2oJl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14:textFill>
            <w14:solidFill>
              <w14:schemeClr w14:val="tx1"/>
            </w14:solidFill>
          </w14:textFill>
        </w:rPr>
        <w:br w:type="page"/>
      </w:r>
      <w:r>
        <w:rPr>
          <w:rFonts w:ascii="Times New Roman" w:hAnsi="Times New Roman"/>
          <w:b w:val="0"/>
          <w:color w:val="000000" w:themeColor="text1"/>
          <w:sz w:val="24"/>
          <w:szCs w:val="24"/>
          <w14:textFill>
            <w14:solidFill>
              <w14:schemeClr w14:val="tx1"/>
            </w14:solidFill>
          </w14:textFill>
        </w:rPr>
        <w:t>附件</w:t>
      </w:r>
      <w:r>
        <w:rPr>
          <w:rFonts w:hint="eastAsia" w:ascii="Times New Roman" w:hAnsi="Times New Roman"/>
          <w:b w:val="0"/>
          <w:color w:val="000000" w:themeColor="text1"/>
          <w:sz w:val="24"/>
          <w:szCs w:val="24"/>
          <w14:textFill>
            <w14:solidFill>
              <w14:schemeClr w14:val="tx1"/>
            </w14:solidFill>
          </w14:textFill>
        </w:rPr>
        <w:t>4：法定代表人授权书</w:t>
      </w:r>
      <w:bookmarkEnd w:id="48"/>
      <w:bookmarkEnd w:id="49"/>
    </w:p>
    <w:p>
      <w:pPr>
        <w:spacing w:before="312" w:beforeLines="100" w:after="312" w:afterLines="100" w:line="360" w:lineRule="auto"/>
        <w:jc w:val="center"/>
        <w:outlineLvl w:val="0"/>
        <w:rPr>
          <w:b/>
          <w:color w:val="000000" w:themeColor="text1"/>
          <w:sz w:val="44"/>
          <w:szCs w:val="44"/>
          <w14:textFill>
            <w14:solidFill>
              <w14:schemeClr w14:val="tx1"/>
            </w14:solidFill>
          </w14:textFill>
        </w:rPr>
      </w:pPr>
      <w:bookmarkStart w:id="50" w:name="_Toc21557"/>
      <w:r>
        <w:rPr>
          <w:b/>
          <w:color w:val="000000" w:themeColor="text1"/>
          <w:sz w:val="44"/>
          <w:szCs w:val="44"/>
          <w14:textFill>
            <w14:solidFill>
              <w14:schemeClr w14:val="tx1"/>
            </w14:solidFill>
          </w14:textFill>
        </w:rPr>
        <w:t>法定代表人授权书</w:t>
      </w:r>
      <w:bookmarkEnd w:id="50"/>
    </w:p>
    <w:p>
      <w:pPr>
        <w:spacing w:line="480" w:lineRule="auto"/>
        <w:ind w:left="-137" w:right="-351" w:rightChars="-16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本授权书声明：我</w:t>
      </w:r>
      <w:r>
        <w:rPr>
          <w:color w:val="000000" w:themeColor="text1"/>
          <w:sz w:val="28"/>
          <w:szCs w:val="28"/>
          <w:u w:val="single"/>
          <w14:textFill>
            <w14:solidFill>
              <w14:schemeClr w14:val="tx1"/>
            </w14:solidFill>
          </w14:textFill>
        </w:rPr>
        <w:t>（法定代表人姓名）</w:t>
      </w:r>
      <w:r>
        <w:rPr>
          <w:color w:val="000000" w:themeColor="text1"/>
          <w:sz w:val="28"/>
          <w:szCs w:val="28"/>
          <w14:textFill>
            <w14:solidFill>
              <w14:schemeClr w14:val="tx1"/>
            </w14:solidFill>
          </w14:textFill>
        </w:rPr>
        <w:t>系</w:t>
      </w:r>
      <w:r>
        <w:rPr>
          <w:color w:val="000000" w:themeColor="text1"/>
          <w:kern w:val="0"/>
          <w:sz w:val="28"/>
          <w:szCs w:val="28"/>
          <w:u w:val="single"/>
          <w14:textFill>
            <w14:solidFill>
              <w14:schemeClr w14:val="tx1"/>
            </w14:solidFill>
          </w14:textFill>
        </w:rPr>
        <w:t xml:space="preserve"> （单位名称） </w:t>
      </w:r>
      <w:r>
        <w:rPr>
          <w:color w:val="000000" w:themeColor="text1"/>
          <w:kern w:val="0"/>
          <w:sz w:val="28"/>
          <w:szCs w:val="28"/>
          <w14:textFill>
            <w14:solidFill>
              <w14:schemeClr w14:val="tx1"/>
            </w14:solidFill>
          </w14:textFill>
        </w:rPr>
        <w:t>的法定代表人，现</w:t>
      </w:r>
      <w:r>
        <w:rPr>
          <w:color w:val="000000" w:themeColor="text1"/>
          <w:sz w:val="28"/>
          <w:szCs w:val="28"/>
          <w14:textFill>
            <w14:solidFill>
              <w14:schemeClr w14:val="tx1"/>
            </w14:solidFill>
          </w14:textFill>
        </w:rPr>
        <w:t>代表本公司授权</w:t>
      </w:r>
      <w:r>
        <w:rPr>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的 </w:t>
      </w:r>
      <w:r>
        <w:rPr>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color w:val="000000" w:themeColor="text1"/>
          <w:kern w:val="0"/>
          <w:sz w:val="28"/>
          <w:szCs w:val="28"/>
          <w14:textFill>
            <w14:solidFill>
              <w14:schemeClr w14:val="tx1"/>
            </w14:solidFill>
          </w14:textFill>
        </w:rPr>
        <w:t>身份证号码：</w:t>
      </w:r>
      <w:r>
        <w:rPr>
          <w:color w:val="000000" w:themeColor="text1"/>
          <w:kern w:val="0"/>
          <w:sz w:val="28"/>
          <w:szCs w:val="28"/>
          <w:u w:val="single"/>
          <w14:textFill>
            <w14:solidFill>
              <w14:schemeClr w14:val="tx1"/>
            </w14:solidFill>
          </w14:textFill>
        </w:rPr>
        <w:t xml:space="preserve">                         </w:t>
      </w:r>
      <w:r>
        <w:rPr>
          <w:color w:val="000000" w:themeColor="text1"/>
          <w:sz w:val="28"/>
          <w:szCs w:val="28"/>
          <w14:textFill>
            <w14:solidFill>
              <w14:schemeClr w14:val="tx1"/>
            </w14:solidFill>
          </w14:textFill>
        </w:rPr>
        <w:t>为本公司的合法代理人，参加南通大学</w:t>
      </w:r>
      <w:r>
        <w:rPr>
          <w:color w:val="000000" w:themeColor="text1"/>
          <w:sz w:val="28"/>
          <w:szCs w:val="28"/>
          <w:u w:val="single"/>
          <w14:textFill>
            <w14:solidFill>
              <w14:schemeClr w14:val="tx1"/>
            </w14:solidFill>
          </w14:textFill>
        </w:rPr>
        <w:t>（项目名称及编号）</w:t>
      </w:r>
      <w:r>
        <w:rPr>
          <w:color w:val="000000" w:themeColor="text1"/>
          <w:sz w:val="28"/>
          <w:szCs w:val="28"/>
          <w14:textFill>
            <w14:solidFill>
              <w14:schemeClr w14:val="tx1"/>
            </w14:solidFill>
          </w14:textFill>
        </w:rPr>
        <w:t>的投标，</w:t>
      </w:r>
      <w:r>
        <w:rPr>
          <w:color w:val="000000" w:themeColor="text1"/>
          <w:kern w:val="0"/>
          <w:sz w:val="28"/>
          <w:szCs w:val="28"/>
          <w14:textFill>
            <w14:solidFill>
              <w14:schemeClr w14:val="tx1"/>
            </w14:solidFill>
          </w14:textFill>
        </w:rPr>
        <w:t>代表本公司签署投标文件、进行</w:t>
      </w:r>
      <w:r>
        <w:rPr>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本授权书于_______年____月____日签字生效。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法定代表人</w:t>
      </w:r>
      <w:r>
        <w:rPr>
          <w:rFonts w:hint="eastAsia"/>
          <w:color w:val="000000" w:themeColor="text1"/>
          <w:sz w:val="28"/>
          <w:szCs w:val="28"/>
          <w14:textFill>
            <w14:solidFill>
              <w14:schemeClr w14:val="tx1"/>
            </w14:solidFill>
          </w14:textFill>
        </w:rPr>
        <w:t>（签字或签章）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t>被授权人</w:t>
      </w:r>
      <w:r>
        <w:rPr>
          <w:rFonts w:hint="eastAsia"/>
          <w:color w:val="000000" w:themeColor="text1"/>
          <w:sz w:val="28"/>
          <w:szCs w:val="28"/>
          <w14:textFill>
            <w14:solidFill>
              <w14:schemeClr w14:val="tx1"/>
            </w14:solidFill>
          </w14:textFill>
        </w:rPr>
        <w:t>（签字或签章）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投标人名称：</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日期：</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年</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月</w:t>
      </w:r>
      <w:r>
        <w:rPr>
          <w:color w:val="000000" w:themeColor="text1"/>
          <w:kern w:val="0"/>
          <w:sz w:val="28"/>
          <w:szCs w:val="28"/>
          <w:u w:val="single"/>
          <w14:textFill>
            <w14:solidFill>
              <w14:schemeClr w14:val="tx1"/>
            </w14:solidFill>
          </w14:textFill>
        </w:rPr>
        <w:t xml:space="preserve">      </w:t>
      </w:r>
      <w:r>
        <w:rPr>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0.3pt;height:171.6pt;width:200.3pt;z-index:251662336;mso-width-relative:page;mso-height-relative:page;" fillcolor="#FFFFFF" filled="t" stroked="t" coordsize="21600,21600" o:gfxdata="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XaZFvaAAAACwEAAA8AAAAAAAAAAQAgAAAAIgAAAGRycy9kb3ducmV2&#10;LnhtbFBLAQIUABQAAAAIAIdO4kDSh6TeMwIAAIgEAAAOAAAAAAAAAAEAIAAAACkBAABkcnMvZTJv&#10;RG9jLnhtbFBLBQYAAAAABgAGAFkBAADO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sz w:val="28"/>
          <w:szCs w:val="28"/>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0.15pt;height:171.6pt;width:200.3pt;z-index:251661312;mso-width-relative:page;mso-height-relative:page;" fillcolor="#FFFFFF" filled="t" stroked="t" coordsize="21600,21600" o:gfxdata="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3uj9kAAAAJAQAADwAAAAAAAAABACAAAAAiAAAAZHJzL2Rvd25yZXYu&#10;eG1sUEsBAhQAFAAAAAgAh07iQNSHV58zAgAAiAQAAA4AAAAAAAAAAQAgAAAAKAEAAGRycy9lMm9E&#10;b2MueG1sUEsFBgAAAAAGAAYAWQEAAM0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pStyle w:val="42"/>
        <w:shd w:val="clear" w:color="auto" w:fill="FFFFFF"/>
        <w:spacing w:before="0" w:beforeAutospacing="0" w:after="0" w:afterAutospacing="0" w:line="2160" w:lineRule="atLeas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注：“法定代表人”直接参加投标和签署投标文件的无需提供该授权书。</w:t>
      </w:r>
    </w:p>
    <w:p>
      <w:pPr>
        <w:widowControl/>
        <w:jc w:val="left"/>
        <w:rPr>
          <w:b/>
          <w:color w:val="000000" w:themeColor="text1"/>
          <w:spacing w:val="4"/>
          <w:sz w:val="44"/>
          <w:szCs w:val="44"/>
          <w14:textFill>
            <w14:solidFill>
              <w14:schemeClr w14:val="tx1"/>
            </w14:solidFill>
          </w14:textFill>
        </w:rPr>
      </w:pPr>
      <w:r>
        <w:rPr>
          <w:b/>
          <w:color w:val="000000" w:themeColor="text1"/>
          <w:spacing w:val="4"/>
          <w:sz w:val="44"/>
          <w:szCs w:val="44"/>
          <w14:textFill>
            <w14:solidFill>
              <w14:schemeClr w14:val="tx1"/>
            </w14:solidFill>
          </w14:textFill>
        </w:rPr>
        <w:br w:type="page"/>
      </w:r>
    </w:p>
    <w:p>
      <w:pPr>
        <w:pStyle w:val="3"/>
        <w:spacing w:before="0" w:beforeAutospacing="0" w:after="0" w:afterAutospacing="0"/>
        <w:rPr>
          <w:rFonts w:ascii="Times New Roman" w:hAnsi="Times New Roman"/>
          <w:b w:val="0"/>
          <w:color w:val="000000" w:themeColor="text1"/>
          <w:sz w:val="24"/>
          <w:szCs w:val="24"/>
          <w14:textFill>
            <w14:solidFill>
              <w14:schemeClr w14:val="tx1"/>
            </w14:solidFill>
          </w14:textFill>
        </w:rPr>
      </w:pPr>
      <w:bookmarkStart w:id="51" w:name="_Toc42777890"/>
      <w:bookmarkStart w:id="52" w:name="_Toc135926852"/>
      <w:bookmarkStart w:id="53" w:name="_Toc2504"/>
      <w:r>
        <w:rPr>
          <w:rFonts w:hint="eastAsia" w:ascii="Times New Roman" w:hAnsi="Times New Roman"/>
          <w:b w:val="0"/>
          <w:color w:val="000000" w:themeColor="text1"/>
          <w:sz w:val="24"/>
          <w:szCs w:val="24"/>
          <w14:textFill>
            <w14:solidFill>
              <w14:schemeClr w14:val="tx1"/>
            </w14:solidFill>
          </w14:textFill>
        </w:rPr>
        <w:t>附件5：南通大学采购谈判二次报价单</w:t>
      </w:r>
      <w:bookmarkEnd w:id="51"/>
      <w:bookmarkEnd w:id="52"/>
      <w:bookmarkEnd w:id="53"/>
    </w:p>
    <w:p>
      <w:pPr>
        <w:jc w:val="center"/>
        <w:rPr>
          <w:b/>
          <w:color w:val="000000" w:themeColor="text1"/>
          <w:sz w:val="44"/>
          <w:szCs w:val="44"/>
          <w14:textFill>
            <w14:solidFill>
              <w14:schemeClr w14:val="tx1"/>
            </w14:solidFill>
          </w14:textFill>
        </w:rPr>
      </w:pPr>
    </w:p>
    <w:p>
      <w:pPr>
        <w:jc w:val="center"/>
        <w:outlineLvl w:val="0"/>
        <w:rPr>
          <w:b/>
          <w:color w:val="000000" w:themeColor="text1"/>
          <w:sz w:val="44"/>
          <w:szCs w:val="44"/>
          <w14:textFill>
            <w14:solidFill>
              <w14:schemeClr w14:val="tx1"/>
            </w14:solidFill>
          </w14:textFill>
        </w:rPr>
      </w:pPr>
      <w:bookmarkStart w:id="54" w:name="_Toc18286"/>
      <w:r>
        <w:rPr>
          <w:rFonts w:hint="eastAsia"/>
          <w:b/>
          <w:color w:val="000000" w:themeColor="text1"/>
          <w:sz w:val="44"/>
          <w:szCs w:val="44"/>
          <w14:textFill>
            <w14:solidFill>
              <w14:schemeClr w14:val="tx1"/>
            </w14:solidFill>
          </w14:textFill>
        </w:rPr>
        <w:t>南通大学采购谈判二次报价单</w:t>
      </w:r>
      <w:bookmarkEnd w:id="54"/>
    </w:p>
    <w:tbl>
      <w:tblPr>
        <w:tblStyle w:val="2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项目名称</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w:t>
            </w:r>
          </w:p>
        </w:tc>
        <w:tc>
          <w:tcPr>
            <w:tcW w:w="2126"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（小写）</w:t>
            </w:r>
          </w:p>
          <w:p>
            <w:pPr>
              <w:jc w:val="left"/>
              <w:rPr>
                <w:color w:val="000000" w:themeColor="text1"/>
                <w:sz w:val="28"/>
                <w:szCs w:val="28"/>
                <w14:textFill>
                  <w14:solidFill>
                    <w14:schemeClr w14:val="tx1"/>
                  </w14:solidFill>
                </w14:textFill>
              </w:rPr>
            </w:pPr>
          </w:p>
        </w:tc>
        <w:tc>
          <w:tcPr>
            <w:tcW w:w="4728" w:type="dxa"/>
            <w:shd w:val="clear" w:color="auto" w:fill="auto"/>
            <w:vAlign w:val="center"/>
          </w:tcPr>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（大写）</w:t>
            </w:r>
          </w:p>
          <w:p>
            <w:pPr>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其他</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优惠承诺</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投标单位</w:t>
            </w:r>
          </w:p>
        </w:tc>
        <w:tc>
          <w:tcPr>
            <w:tcW w:w="6854" w:type="dxa"/>
            <w:gridSpan w:val="2"/>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报 价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tcBorders>
              <w:bottom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使用部门</w:t>
            </w:r>
          </w:p>
        </w:tc>
        <w:tc>
          <w:tcPr>
            <w:tcW w:w="6854" w:type="dxa"/>
            <w:gridSpan w:val="2"/>
            <w:tcBorders>
              <w:top w:val="dashSmallGap" w:color="auto" w:sz="12" w:space="0"/>
            </w:tcBorders>
            <w:shd w:val="clear" w:color="auto" w:fill="auto"/>
            <w:vAlign w:val="center"/>
          </w:tcPr>
          <w:p>
            <w:pPr>
              <w:jc w:val="cente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 系 人</w:t>
            </w:r>
          </w:p>
          <w:p>
            <w:pPr>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联系方式</w:t>
            </w:r>
          </w:p>
        </w:tc>
        <w:tc>
          <w:tcPr>
            <w:tcW w:w="6854" w:type="dxa"/>
            <w:gridSpan w:val="2"/>
            <w:shd w:val="clear" w:color="auto" w:fill="auto"/>
            <w:vAlign w:val="center"/>
          </w:tcPr>
          <w:p>
            <w:pPr>
              <w:jc w:val="center"/>
              <w:rPr>
                <w:color w:val="000000" w:themeColor="text1"/>
                <w14:textFill>
                  <w14:solidFill>
                    <w14:schemeClr w14:val="tx1"/>
                  </w14:solidFill>
                </w14:textFill>
              </w:rPr>
            </w:pPr>
          </w:p>
        </w:tc>
      </w:tr>
    </w:tbl>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备注： ztb@ntu.edu.cn，联系方式0513-85012138。</w:t>
      </w:r>
    </w:p>
    <w:p>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pPr>
        <w:pStyle w:val="3"/>
        <w:rPr>
          <w:b w:val="0"/>
          <w:color w:val="000000" w:themeColor="text1"/>
          <w:sz w:val="21"/>
          <w:szCs w:val="21"/>
          <w14:textFill>
            <w14:solidFill>
              <w14:schemeClr w14:val="tx1"/>
            </w14:solidFill>
          </w14:textFill>
        </w:rPr>
      </w:pPr>
      <w:bookmarkStart w:id="55" w:name="_Toc53153323"/>
      <w:bookmarkStart w:id="56" w:name="_Toc50642504"/>
      <w:bookmarkStart w:id="57" w:name="_Toc14799"/>
      <w:bookmarkStart w:id="58" w:name="_Toc50645818"/>
      <w:bookmarkStart w:id="59" w:name="_Toc49847305"/>
      <w:bookmarkStart w:id="60" w:name="_Toc52798261"/>
      <w:bookmarkStart w:id="61" w:name="_Toc135926853"/>
      <w:bookmarkStart w:id="62" w:name="_Toc51598428"/>
      <w:r>
        <w:rPr>
          <w:rFonts w:hint="eastAsia"/>
          <w:b w:val="0"/>
          <w:color w:val="000000" w:themeColor="text1"/>
          <w:sz w:val="21"/>
          <w:szCs w:val="21"/>
          <w14:textFill>
            <w14:solidFill>
              <w14:schemeClr w14:val="tx1"/>
            </w14:solidFill>
          </w14:textFill>
        </w:rPr>
        <w:t>附件6：无重大违法记录声明</w:t>
      </w:r>
      <w:bookmarkEnd w:id="55"/>
      <w:bookmarkEnd w:id="56"/>
      <w:bookmarkEnd w:id="57"/>
      <w:bookmarkEnd w:id="58"/>
      <w:bookmarkEnd w:id="59"/>
      <w:bookmarkEnd w:id="60"/>
      <w:bookmarkEnd w:id="61"/>
      <w:bookmarkEnd w:id="62"/>
    </w:p>
    <w:p>
      <w:pPr>
        <w:pStyle w:val="34"/>
        <w:rPr>
          <w:b/>
          <w:color w:val="000000" w:themeColor="text1"/>
          <w:sz w:val="30"/>
          <w:szCs w:val="30"/>
          <w14:textFill>
            <w14:solidFill>
              <w14:schemeClr w14:val="tx1"/>
            </w14:solidFill>
          </w14:textFill>
        </w:rPr>
      </w:pPr>
    </w:p>
    <w:p>
      <w:pPr>
        <w:pStyle w:val="34"/>
        <w:rPr>
          <w:b/>
          <w:color w:val="000000" w:themeColor="text1"/>
          <w:sz w:val="30"/>
          <w:szCs w:val="30"/>
          <w14:textFill>
            <w14:solidFill>
              <w14:schemeClr w14:val="tx1"/>
            </w14:solidFill>
          </w14:textFill>
        </w:rPr>
      </w:pPr>
    </w:p>
    <w:p>
      <w:pPr>
        <w:pStyle w:val="34"/>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34"/>
        <w:rPr>
          <w:b/>
          <w:color w:val="000000" w:themeColor="text1"/>
          <w:sz w:val="30"/>
          <w:szCs w:val="30"/>
          <w14:textFill>
            <w14:solidFill>
              <w14:schemeClr w14:val="tx1"/>
            </w14:solidFill>
          </w14:textFill>
        </w:rPr>
      </w:pPr>
    </w:p>
    <w:p>
      <w:pPr>
        <w:pStyle w:val="34"/>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63" w:name="_Toc51598429"/>
      <w:bookmarkStart w:id="64" w:name="_Toc53153324"/>
      <w:bookmarkStart w:id="65" w:name="_Toc50642505"/>
      <w:bookmarkStart w:id="66" w:name="_Toc52798262"/>
      <w:bookmarkStart w:id="67" w:name="_Toc49847306"/>
      <w:bookmarkStart w:id="68" w:name="_Toc135926854"/>
      <w:bookmarkStart w:id="69" w:name="_Toc19809"/>
      <w:bookmarkStart w:id="70" w:name="_Toc50645819"/>
      <w:r>
        <w:rPr>
          <w:rFonts w:hint="eastAsia"/>
          <w:b w:val="0"/>
          <w:color w:val="000000" w:themeColor="text1"/>
          <w:sz w:val="21"/>
          <w:szCs w:val="21"/>
          <w14:textFill>
            <w14:solidFill>
              <w14:schemeClr w14:val="tx1"/>
            </w14:solidFill>
          </w14:textFill>
        </w:rPr>
        <w:t>附件7：诚信承诺书</w:t>
      </w:r>
      <w:bookmarkEnd w:id="63"/>
      <w:bookmarkEnd w:id="64"/>
      <w:bookmarkEnd w:id="65"/>
      <w:bookmarkEnd w:id="66"/>
      <w:bookmarkEnd w:id="67"/>
      <w:bookmarkEnd w:id="68"/>
      <w:bookmarkEnd w:id="69"/>
      <w:bookmarkEnd w:id="70"/>
    </w:p>
    <w:p>
      <w:pPr>
        <w:pStyle w:val="34"/>
        <w:jc w:val="center"/>
        <w:rPr>
          <w:b/>
          <w:color w:val="000000" w:themeColor="text1"/>
          <w:sz w:val="44"/>
          <w:szCs w:val="44"/>
          <w14:textFill>
            <w14:solidFill>
              <w14:schemeClr w14:val="tx1"/>
            </w14:solidFill>
          </w14:textFill>
        </w:rPr>
      </w:pPr>
    </w:p>
    <w:p>
      <w:pPr>
        <w:pStyle w:val="34"/>
        <w:jc w:val="center"/>
        <w:outlineLvl w:val="0"/>
        <w:rPr>
          <w:color w:val="000000" w:themeColor="text1"/>
          <w:sz w:val="44"/>
          <w:szCs w:val="44"/>
          <w14:textFill>
            <w14:solidFill>
              <w14:schemeClr w14:val="tx1"/>
            </w14:solidFill>
          </w14:textFill>
        </w:rPr>
      </w:pPr>
      <w:bookmarkStart w:id="71" w:name="_Toc19579"/>
      <w:r>
        <w:rPr>
          <w:rFonts w:hint="eastAsia"/>
          <w:b/>
          <w:color w:val="000000" w:themeColor="text1"/>
          <w:sz w:val="44"/>
          <w:szCs w:val="44"/>
          <w14:textFill>
            <w14:solidFill>
              <w14:schemeClr w14:val="tx1"/>
            </w14:solidFill>
          </w14:textFill>
        </w:rPr>
        <w:t>诚信承诺书</w:t>
      </w:r>
      <w:bookmarkEnd w:id="71"/>
    </w:p>
    <w:p>
      <w:pPr>
        <w:pStyle w:val="34"/>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法定代表人或被委托代表人（签字或签章）</w:t>
      </w:r>
      <w:r>
        <w:rPr>
          <w:rFonts w:hint="eastAsia"/>
          <w:color w:val="000000" w:themeColor="text1"/>
          <w:sz w:val="28"/>
          <w:szCs w:val="28"/>
          <w:u w:val="single"/>
          <w14:textFill>
            <w14:solidFill>
              <w14:schemeClr w14:val="tx1"/>
            </w14:solidFill>
          </w14:textFill>
        </w:rPr>
        <w:t xml:space="preserve">      </w:t>
      </w: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p>
    <w:p>
      <w:pPr>
        <w:pStyle w:val="34"/>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sectPr>
      <w:pgSz w:w="11906" w:h="16838"/>
      <w:pgMar w:top="1440" w:right="1418" w:bottom="1440" w:left="1644"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rPr>
      <w:t>27</w:t>
    </w:r>
    <w:r>
      <w:rPr>
        <w:rStyle w:val="25"/>
      </w:rPr>
      <w:fldChar w:fldCharType="end"/>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rPr>
      <w:t>13</w:t>
    </w:r>
    <w:r>
      <w:rPr>
        <w:rStyle w:val="25"/>
      </w:rPr>
      <w:fldChar w:fldCharType="end"/>
    </w:r>
  </w:p>
  <w:p>
    <w:pPr>
      <w:pStyle w:val="13"/>
    </w:pPr>
  </w:p>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pPr>
      <w:pStyle w:val="13"/>
    </w:pPr>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rPr>
        <w:rFonts w:hint="eastAsia"/>
      </w:rPr>
      <w:t>16</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A771CF"/>
    <w:multiLevelType w:val="multilevel"/>
    <w:tmpl w:val="32A771CF"/>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71E16B9"/>
    <w:multiLevelType w:val="multilevel"/>
    <w:tmpl w:val="471E16B9"/>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17F47B3"/>
    <w:multiLevelType w:val="multilevel"/>
    <w:tmpl w:val="517F47B3"/>
    <w:lvl w:ilvl="0" w:tentative="0">
      <w:start w:val="1"/>
      <w:numFmt w:val="decimal"/>
      <w:lvlText w:val="%1)"/>
      <w:lvlJc w:val="left"/>
      <w:pPr>
        <w:ind w:left="840"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63184FAE"/>
    <w:multiLevelType w:val="multilevel"/>
    <w:tmpl w:val="63184FAE"/>
    <w:lvl w:ilvl="0" w:tentative="0">
      <w:start w:val="1"/>
      <w:numFmt w:val="decimal"/>
      <w:lvlText w:val="%1)"/>
      <w:lvlJc w:val="left"/>
      <w:pPr>
        <w:ind w:left="840" w:hanging="420"/>
      </w:p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1CF561C"/>
    <w:multiLevelType w:val="multilevel"/>
    <w:tmpl w:val="71CF561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7EFF4EFA"/>
    <w:multiLevelType w:val="multilevel"/>
    <w:tmpl w:val="7EFF4EFA"/>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qFormat="1" w:unhideWhenUsed="0" w:uiPriority="39" w:semiHidden="0" w:name="toc 3" w:locked="1"/>
    <w:lsdException w:uiPriority="0" w:name="toc 4" w:locked="1"/>
    <w:lsdException w:uiPriority="0" w:name="toc 5" w:locked="1"/>
    <w:lsdException w:uiPriority="0" w:name="toc 6" w:locked="1"/>
    <w:lsdException w:uiPriority="0" w:name="toc 7" w:locked="1"/>
    <w:lsdException w:uiPriority="0" w:name="toc 8" w:locked="1"/>
    <w:lsdException w:uiPriority="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1"/>
    <w:autoRedefine/>
    <w:qFormat/>
    <w:locked/>
    <w:uiPriority w:val="0"/>
    <w:pPr>
      <w:keepNext/>
      <w:keepLines/>
      <w:spacing w:before="340" w:after="100" w:afterAutospacing="1" w:line="578" w:lineRule="auto"/>
      <w:jc w:val="center"/>
      <w:outlineLvl w:val="0"/>
    </w:pPr>
    <w:rPr>
      <w:b/>
      <w:bCs/>
      <w:kern w:val="44"/>
      <w:sz w:val="44"/>
      <w:szCs w:val="44"/>
    </w:rPr>
  </w:style>
  <w:style w:type="paragraph" w:styleId="3">
    <w:name w:val="heading 2"/>
    <w:basedOn w:val="1"/>
    <w:next w:val="1"/>
    <w:link w:val="40"/>
    <w:autoRedefine/>
    <w:unhideWhenUsed/>
    <w:qFormat/>
    <w:locked/>
    <w:uiPriority w:val="0"/>
    <w:pPr>
      <w:keepNext/>
      <w:keepLines/>
      <w:spacing w:before="100" w:beforeAutospacing="1" w:after="100" w:afterAutospacing="1"/>
      <w:outlineLvl w:val="1"/>
    </w:pPr>
    <w:rPr>
      <w:rFonts w:ascii="Cambria" w:hAnsi="Cambria"/>
      <w:b/>
      <w:bCs/>
      <w:sz w:val="32"/>
      <w:szCs w:val="32"/>
    </w:rPr>
  </w:style>
  <w:style w:type="paragraph" w:styleId="4">
    <w:name w:val="heading 3"/>
    <w:basedOn w:val="1"/>
    <w:next w:val="1"/>
    <w:link w:val="50"/>
    <w:autoRedefine/>
    <w:unhideWhenUsed/>
    <w:qFormat/>
    <w:locked/>
    <w:uiPriority w:val="0"/>
    <w:pPr>
      <w:keepNext/>
      <w:keepLines/>
      <w:spacing w:before="100" w:beforeAutospacing="1" w:after="100" w:afterAutospacing="1"/>
      <w:outlineLvl w:val="2"/>
    </w:pPr>
    <w:rPr>
      <w:bCs/>
      <w:sz w:val="24"/>
      <w:szCs w:val="32"/>
    </w:rPr>
  </w:style>
  <w:style w:type="paragraph" w:styleId="5">
    <w:name w:val="heading 4"/>
    <w:basedOn w:val="1"/>
    <w:next w:val="1"/>
    <w:link w:val="59"/>
    <w:semiHidden/>
    <w:unhideWhenUsed/>
    <w:qFormat/>
    <w:locked/>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3">
    <w:name w:val="Default Paragraph Font"/>
    <w:autoRedefine/>
    <w:semiHidden/>
    <w:unhideWhenUsed/>
    <w:qFormat/>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6">
    <w:name w:val="Document Map"/>
    <w:basedOn w:val="1"/>
    <w:link w:val="38"/>
    <w:autoRedefine/>
    <w:semiHidden/>
    <w:qFormat/>
    <w:uiPriority w:val="99"/>
    <w:pPr>
      <w:shd w:val="clear" w:color="auto" w:fill="000080"/>
    </w:pPr>
    <w:rPr>
      <w:kern w:val="0"/>
      <w:sz w:val="2"/>
    </w:rPr>
  </w:style>
  <w:style w:type="paragraph" w:styleId="7">
    <w:name w:val="annotation text"/>
    <w:basedOn w:val="1"/>
    <w:link w:val="54"/>
    <w:autoRedefine/>
    <w:semiHidden/>
    <w:unhideWhenUsed/>
    <w:qFormat/>
    <w:uiPriority w:val="99"/>
    <w:pPr>
      <w:jc w:val="left"/>
    </w:pPr>
  </w:style>
  <w:style w:type="paragraph" w:styleId="8">
    <w:name w:val="Body Text"/>
    <w:basedOn w:val="1"/>
    <w:next w:val="1"/>
    <w:link w:val="32"/>
    <w:autoRedefine/>
    <w:qFormat/>
    <w:uiPriority w:val="99"/>
    <w:pPr>
      <w:spacing w:after="120"/>
    </w:pPr>
    <w:rPr>
      <w:sz w:val="24"/>
      <w:szCs w:val="20"/>
    </w:rPr>
  </w:style>
  <w:style w:type="paragraph" w:styleId="9">
    <w:name w:val="toc 3"/>
    <w:basedOn w:val="1"/>
    <w:next w:val="1"/>
    <w:autoRedefine/>
    <w:qFormat/>
    <w:locked/>
    <w:uiPriority w:val="39"/>
    <w:pPr>
      <w:ind w:left="840" w:leftChars="400"/>
    </w:pPr>
  </w:style>
  <w:style w:type="paragraph" w:styleId="10">
    <w:name w:val="Plain Text"/>
    <w:basedOn w:val="1"/>
    <w:link w:val="36"/>
    <w:autoRedefine/>
    <w:qFormat/>
    <w:uiPriority w:val="99"/>
    <w:pPr>
      <w:jc w:val="left"/>
    </w:pPr>
    <w:rPr>
      <w:rFonts w:ascii="宋体" w:hAnsi="Courier New"/>
      <w:kern w:val="0"/>
      <w:sz w:val="20"/>
      <w:szCs w:val="21"/>
    </w:rPr>
  </w:style>
  <w:style w:type="paragraph" w:styleId="11">
    <w:name w:val="Date"/>
    <w:basedOn w:val="1"/>
    <w:next w:val="1"/>
    <w:link w:val="29"/>
    <w:autoRedefine/>
    <w:qFormat/>
    <w:uiPriority w:val="99"/>
    <w:pPr>
      <w:ind w:left="2500" w:leftChars="2500"/>
    </w:pPr>
    <w:rPr>
      <w:rFonts w:eastAsia="黑体"/>
      <w:kern w:val="0"/>
      <w:sz w:val="24"/>
      <w:szCs w:val="20"/>
    </w:rPr>
  </w:style>
  <w:style w:type="paragraph" w:styleId="12">
    <w:name w:val="Balloon Text"/>
    <w:basedOn w:val="1"/>
    <w:link w:val="39"/>
    <w:autoRedefine/>
    <w:semiHidden/>
    <w:qFormat/>
    <w:uiPriority w:val="99"/>
    <w:rPr>
      <w:sz w:val="18"/>
      <w:szCs w:val="20"/>
    </w:rPr>
  </w:style>
  <w:style w:type="paragraph" w:styleId="13">
    <w:name w:val="footer"/>
    <w:basedOn w:val="1"/>
    <w:link w:val="31"/>
    <w:autoRedefine/>
    <w:qFormat/>
    <w:uiPriority w:val="99"/>
    <w:pPr>
      <w:tabs>
        <w:tab w:val="center" w:pos="4153"/>
        <w:tab w:val="right" w:pos="8306"/>
      </w:tabs>
      <w:snapToGrid w:val="0"/>
      <w:jc w:val="left"/>
    </w:pPr>
    <w:rPr>
      <w:sz w:val="18"/>
      <w:szCs w:val="20"/>
    </w:rPr>
  </w:style>
  <w:style w:type="paragraph" w:styleId="14">
    <w:name w:val="header"/>
    <w:basedOn w:val="1"/>
    <w:link w:val="30"/>
    <w:autoRedefine/>
    <w:qFormat/>
    <w:uiPriority w:val="99"/>
    <w:pPr>
      <w:pBdr>
        <w:bottom w:val="single" w:color="auto" w:sz="6" w:space="1"/>
      </w:pBdr>
      <w:tabs>
        <w:tab w:val="center" w:pos="4153"/>
        <w:tab w:val="right" w:pos="8306"/>
      </w:tabs>
      <w:snapToGrid w:val="0"/>
      <w:jc w:val="center"/>
    </w:pPr>
    <w:rPr>
      <w:sz w:val="18"/>
      <w:szCs w:val="20"/>
    </w:rPr>
  </w:style>
  <w:style w:type="paragraph" w:styleId="15">
    <w:name w:val="toc 1"/>
    <w:basedOn w:val="1"/>
    <w:next w:val="1"/>
    <w:autoRedefine/>
    <w:qFormat/>
    <w:locked/>
    <w:uiPriority w:val="39"/>
    <w:pPr>
      <w:tabs>
        <w:tab w:val="right" w:leader="dot" w:pos="8834"/>
      </w:tabs>
    </w:pPr>
  </w:style>
  <w:style w:type="paragraph" w:styleId="16">
    <w:name w:val="Body Text Indent 3"/>
    <w:basedOn w:val="1"/>
    <w:autoRedefine/>
    <w:qFormat/>
    <w:uiPriority w:val="0"/>
    <w:pPr>
      <w:spacing w:line="360" w:lineRule="auto"/>
      <w:ind w:firstLine="480" w:firstLineChars="200"/>
    </w:pPr>
    <w:rPr>
      <w:rFonts w:hAnsi="宋体"/>
      <w:sz w:val="24"/>
      <w:szCs w:val="20"/>
    </w:rPr>
  </w:style>
  <w:style w:type="paragraph" w:styleId="17">
    <w:name w:val="toc 2"/>
    <w:basedOn w:val="1"/>
    <w:next w:val="1"/>
    <w:autoRedefine/>
    <w:qFormat/>
    <w:locked/>
    <w:uiPriority w:val="39"/>
    <w:pPr>
      <w:ind w:left="420" w:leftChars="200"/>
    </w:pPr>
  </w:style>
  <w:style w:type="paragraph" w:styleId="18">
    <w:name w:val="Normal (Web)"/>
    <w:basedOn w:val="1"/>
    <w:autoRedefine/>
    <w:qFormat/>
    <w:uiPriority w:val="0"/>
    <w:pPr>
      <w:widowControl/>
      <w:spacing w:before="100" w:beforeAutospacing="1" w:after="100" w:afterAutospacing="1"/>
      <w:jc w:val="left"/>
    </w:pPr>
    <w:rPr>
      <w:rFonts w:ascii="宋体" w:hAnsi="宋体"/>
      <w:color w:val="000000"/>
      <w:kern w:val="0"/>
      <w:sz w:val="18"/>
      <w:szCs w:val="18"/>
    </w:rPr>
  </w:style>
  <w:style w:type="paragraph" w:styleId="19">
    <w:name w:val="Title"/>
    <w:basedOn w:val="1"/>
    <w:next w:val="1"/>
    <w:link w:val="49"/>
    <w:autoRedefine/>
    <w:qFormat/>
    <w:locked/>
    <w:uiPriority w:val="0"/>
    <w:pPr>
      <w:spacing w:before="240" w:after="60"/>
      <w:jc w:val="center"/>
      <w:outlineLvl w:val="0"/>
    </w:pPr>
    <w:rPr>
      <w:rFonts w:asciiTheme="majorHAnsi" w:hAnsiTheme="majorHAnsi" w:cstheme="majorBidi"/>
      <w:b/>
      <w:bCs/>
      <w:sz w:val="32"/>
      <w:szCs w:val="32"/>
    </w:rPr>
  </w:style>
  <w:style w:type="paragraph" w:styleId="20">
    <w:name w:val="annotation subject"/>
    <w:basedOn w:val="7"/>
    <w:next w:val="7"/>
    <w:link w:val="55"/>
    <w:autoRedefine/>
    <w:semiHidden/>
    <w:unhideWhenUsed/>
    <w:qFormat/>
    <w:uiPriority w:val="99"/>
    <w:rPr>
      <w:b/>
      <w:bCs/>
    </w:rPr>
  </w:style>
  <w:style w:type="table" w:styleId="22">
    <w:name w:val="Table Grid"/>
    <w:basedOn w:val="21"/>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autoRedefine/>
    <w:qFormat/>
    <w:locked/>
    <w:uiPriority w:val="22"/>
    <w:rPr>
      <w:b/>
      <w:bCs/>
    </w:rPr>
  </w:style>
  <w:style w:type="character" w:styleId="25">
    <w:name w:val="page number"/>
    <w:autoRedefine/>
    <w:qFormat/>
    <w:uiPriority w:val="99"/>
    <w:rPr>
      <w:rFonts w:cs="Times New Roman"/>
    </w:rPr>
  </w:style>
  <w:style w:type="character" w:styleId="26">
    <w:name w:val="FollowedHyperlink"/>
    <w:autoRedefine/>
    <w:qFormat/>
    <w:uiPriority w:val="99"/>
    <w:rPr>
      <w:rFonts w:cs="Times New Roman"/>
      <w:color w:val="800080"/>
      <w:u w:val="single"/>
    </w:rPr>
  </w:style>
  <w:style w:type="character" w:styleId="27">
    <w:name w:val="Hyperlink"/>
    <w:autoRedefine/>
    <w:qFormat/>
    <w:uiPriority w:val="99"/>
    <w:rPr>
      <w:rFonts w:cs="Times New Roman"/>
      <w:color w:val="0000FF"/>
      <w:u w:val="single"/>
    </w:rPr>
  </w:style>
  <w:style w:type="character" w:styleId="28">
    <w:name w:val="annotation reference"/>
    <w:basedOn w:val="23"/>
    <w:autoRedefine/>
    <w:semiHidden/>
    <w:unhideWhenUsed/>
    <w:qFormat/>
    <w:uiPriority w:val="99"/>
    <w:rPr>
      <w:sz w:val="21"/>
      <w:szCs w:val="21"/>
    </w:rPr>
  </w:style>
  <w:style w:type="character" w:customStyle="1" w:styleId="29">
    <w:name w:val="日期 字符"/>
    <w:link w:val="11"/>
    <w:autoRedefine/>
    <w:qFormat/>
    <w:locked/>
    <w:uiPriority w:val="99"/>
    <w:rPr>
      <w:rFonts w:eastAsia="黑体" w:cs="Times New Roman"/>
      <w:sz w:val="24"/>
    </w:rPr>
  </w:style>
  <w:style w:type="character" w:customStyle="1" w:styleId="30">
    <w:name w:val="页眉 字符"/>
    <w:link w:val="14"/>
    <w:autoRedefine/>
    <w:qFormat/>
    <w:locked/>
    <w:uiPriority w:val="99"/>
    <w:rPr>
      <w:rFonts w:cs="Times New Roman"/>
      <w:kern w:val="2"/>
      <w:sz w:val="18"/>
    </w:rPr>
  </w:style>
  <w:style w:type="character" w:customStyle="1" w:styleId="31">
    <w:name w:val="页脚 字符1"/>
    <w:link w:val="13"/>
    <w:autoRedefine/>
    <w:qFormat/>
    <w:locked/>
    <w:uiPriority w:val="99"/>
    <w:rPr>
      <w:rFonts w:cs="Times New Roman"/>
      <w:kern w:val="2"/>
      <w:sz w:val="18"/>
    </w:rPr>
  </w:style>
  <w:style w:type="character" w:customStyle="1" w:styleId="32">
    <w:name w:val="正文文本 字符"/>
    <w:link w:val="8"/>
    <w:autoRedefine/>
    <w:qFormat/>
    <w:locked/>
    <w:uiPriority w:val="99"/>
    <w:rPr>
      <w:rFonts w:cs="Times New Roman"/>
      <w:kern w:val="2"/>
      <w:sz w:val="24"/>
    </w:rPr>
  </w:style>
  <w:style w:type="paragraph" w:customStyle="1" w:styleId="33">
    <w:name w:val="此正文"/>
    <w:basedOn w:val="1"/>
    <w:autoRedefine/>
    <w:qFormat/>
    <w:uiPriority w:val="99"/>
    <w:pPr>
      <w:spacing w:line="360" w:lineRule="auto"/>
      <w:ind w:firstLine="200" w:firstLineChars="200"/>
    </w:pPr>
    <w:rPr>
      <w:sz w:val="24"/>
      <w:szCs w:val="20"/>
    </w:rPr>
  </w:style>
  <w:style w:type="paragraph" w:customStyle="1" w:styleId="34">
    <w:name w:val="Default"/>
    <w:autoRedefine/>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5">
    <w:name w:val="Char Char Char Char Char Char Char"/>
    <w:basedOn w:val="1"/>
    <w:autoRedefine/>
    <w:semiHidden/>
    <w:qFormat/>
    <w:uiPriority w:val="99"/>
    <w:rPr>
      <w:rFonts w:ascii="Tahoma" w:hAnsi="Tahoma" w:cs="仿宋_GB2312"/>
      <w:sz w:val="24"/>
      <w:szCs w:val="28"/>
    </w:rPr>
  </w:style>
  <w:style w:type="character" w:customStyle="1" w:styleId="36">
    <w:name w:val="纯文本 字符"/>
    <w:link w:val="10"/>
    <w:autoRedefine/>
    <w:semiHidden/>
    <w:qFormat/>
    <w:locked/>
    <w:uiPriority w:val="99"/>
    <w:rPr>
      <w:rFonts w:ascii="宋体" w:hAnsi="Courier New" w:cs="Times New Roman"/>
      <w:sz w:val="21"/>
    </w:rPr>
  </w:style>
  <w:style w:type="paragraph" w:customStyle="1" w:styleId="37">
    <w:name w:val="Char Char Char Char"/>
    <w:basedOn w:val="6"/>
    <w:autoRedefine/>
    <w:qFormat/>
    <w:uiPriority w:val="99"/>
    <w:pPr>
      <w:adjustRightInd w:val="0"/>
      <w:snapToGrid w:val="0"/>
      <w:spacing w:line="360" w:lineRule="auto"/>
    </w:pPr>
    <w:rPr>
      <w:rFonts w:ascii="Tahoma" w:hAnsi="Tahoma"/>
      <w:sz w:val="24"/>
    </w:rPr>
  </w:style>
  <w:style w:type="character" w:customStyle="1" w:styleId="38">
    <w:name w:val="文档结构图 字符"/>
    <w:link w:val="6"/>
    <w:autoRedefine/>
    <w:semiHidden/>
    <w:qFormat/>
    <w:locked/>
    <w:uiPriority w:val="99"/>
    <w:rPr>
      <w:rFonts w:cs="Times New Roman"/>
      <w:sz w:val="2"/>
    </w:rPr>
  </w:style>
  <w:style w:type="character" w:customStyle="1" w:styleId="39">
    <w:name w:val="批注框文本 字符"/>
    <w:link w:val="12"/>
    <w:autoRedefine/>
    <w:semiHidden/>
    <w:qFormat/>
    <w:locked/>
    <w:uiPriority w:val="99"/>
    <w:rPr>
      <w:rFonts w:cs="Times New Roman"/>
      <w:kern w:val="2"/>
      <w:sz w:val="18"/>
    </w:rPr>
  </w:style>
  <w:style w:type="character" w:customStyle="1" w:styleId="40">
    <w:name w:val="标题 2 字符"/>
    <w:link w:val="3"/>
    <w:autoRedefine/>
    <w:qFormat/>
    <w:uiPriority w:val="0"/>
    <w:rPr>
      <w:rFonts w:ascii="Cambria" w:hAnsi="Cambria"/>
      <w:b/>
      <w:bCs/>
      <w:kern w:val="2"/>
      <w:sz w:val="32"/>
      <w:szCs w:val="32"/>
    </w:rPr>
  </w:style>
  <w:style w:type="character" w:customStyle="1" w:styleId="41">
    <w:name w:val="标题 1 字符1"/>
    <w:link w:val="2"/>
    <w:autoRedefine/>
    <w:qFormat/>
    <w:uiPriority w:val="0"/>
    <w:rPr>
      <w:b/>
      <w:bCs/>
      <w:kern w:val="44"/>
      <w:sz w:val="44"/>
      <w:szCs w:val="44"/>
    </w:rPr>
  </w:style>
  <w:style w:type="paragraph" w:customStyle="1" w:styleId="42">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styleId="43">
    <w:name w:val="List Paragraph"/>
    <w:basedOn w:val="1"/>
    <w:autoRedefine/>
    <w:qFormat/>
    <w:uiPriority w:val="34"/>
    <w:pPr>
      <w:ind w:firstLine="420" w:firstLineChars="200"/>
    </w:pPr>
  </w:style>
  <w:style w:type="character" w:customStyle="1" w:styleId="44">
    <w:name w:val="页脚 字符"/>
    <w:autoRedefine/>
    <w:qFormat/>
    <w:locked/>
    <w:uiPriority w:val="99"/>
    <w:rPr>
      <w:rFonts w:cs="Times New Roman"/>
      <w:kern w:val="2"/>
      <w:sz w:val="18"/>
    </w:rPr>
  </w:style>
  <w:style w:type="character" w:customStyle="1" w:styleId="45">
    <w:name w:val="标题 1 字符"/>
    <w:autoRedefine/>
    <w:qFormat/>
    <w:uiPriority w:val="0"/>
    <w:rPr>
      <w:b/>
      <w:bCs/>
      <w:kern w:val="44"/>
      <w:sz w:val="44"/>
      <w:szCs w:val="44"/>
    </w:rPr>
  </w:style>
  <w:style w:type="paragraph" w:customStyle="1" w:styleId="46">
    <w:name w:val="_Style 36"/>
    <w:basedOn w:val="1"/>
    <w:next w:val="43"/>
    <w:link w:val="47"/>
    <w:autoRedefine/>
    <w:qFormat/>
    <w:uiPriority w:val="34"/>
    <w:pPr>
      <w:ind w:firstLine="420" w:firstLineChars="200"/>
    </w:pPr>
  </w:style>
  <w:style w:type="character" w:customStyle="1" w:styleId="47">
    <w:name w:val="列出段落 Char"/>
    <w:link w:val="46"/>
    <w:autoRedefine/>
    <w:qFormat/>
    <w:uiPriority w:val="99"/>
    <w:rPr>
      <w:kern w:val="2"/>
      <w:sz w:val="21"/>
      <w:szCs w:val="24"/>
    </w:rPr>
  </w:style>
  <w:style w:type="paragraph" w:customStyle="1" w:styleId="48">
    <w:name w:val="_Style 3"/>
    <w:basedOn w:val="1"/>
    <w:autoRedefine/>
    <w:qFormat/>
    <w:uiPriority w:val="34"/>
    <w:pPr>
      <w:ind w:firstLine="420" w:firstLineChars="200"/>
    </w:pPr>
    <w:rPr>
      <w:rFonts w:asciiTheme="minorHAnsi" w:hAnsiTheme="minorHAnsi" w:eastAsiaTheme="minorEastAsia" w:cstheme="minorBidi"/>
    </w:rPr>
  </w:style>
  <w:style w:type="character" w:customStyle="1" w:styleId="49">
    <w:name w:val="标题 字符"/>
    <w:basedOn w:val="23"/>
    <w:link w:val="19"/>
    <w:autoRedefine/>
    <w:qFormat/>
    <w:uiPriority w:val="0"/>
    <w:rPr>
      <w:rFonts w:asciiTheme="majorHAnsi" w:hAnsiTheme="majorHAnsi" w:cstheme="majorBidi"/>
      <w:b/>
      <w:bCs/>
      <w:kern w:val="2"/>
      <w:sz w:val="32"/>
      <w:szCs w:val="32"/>
    </w:rPr>
  </w:style>
  <w:style w:type="character" w:customStyle="1" w:styleId="50">
    <w:name w:val="标题 3 字符"/>
    <w:basedOn w:val="23"/>
    <w:link w:val="4"/>
    <w:autoRedefine/>
    <w:qFormat/>
    <w:uiPriority w:val="0"/>
    <w:rPr>
      <w:bCs/>
      <w:kern w:val="2"/>
      <w:sz w:val="24"/>
      <w:szCs w:val="32"/>
    </w:rPr>
  </w:style>
  <w:style w:type="paragraph" w:customStyle="1" w:styleId="51">
    <w:name w:val="普通正文"/>
    <w:basedOn w:val="1"/>
    <w:autoRedefine/>
    <w:qFormat/>
    <w:uiPriority w:val="0"/>
    <w:pPr>
      <w:adjustRightInd w:val="0"/>
      <w:spacing w:before="120" w:after="120" w:line="360" w:lineRule="auto"/>
      <w:ind w:firstLine="480"/>
      <w:jc w:val="left"/>
    </w:pPr>
    <w:rPr>
      <w:rFonts w:ascii="Arial" w:hAnsi="Arial"/>
      <w:kern w:val="0"/>
      <w:sz w:val="24"/>
    </w:rPr>
  </w:style>
  <w:style w:type="paragraph" w:customStyle="1" w:styleId="52">
    <w:name w:val="_Style 47"/>
    <w:basedOn w:val="1"/>
    <w:next w:val="43"/>
    <w:link w:val="53"/>
    <w:autoRedefine/>
    <w:qFormat/>
    <w:uiPriority w:val="34"/>
    <w:pPr>
      <w:ind w:firstLine="420" w:firstLineChars="200"/>
    </w:pPr>
  </w:style>
  <w:style w:type="character" w:customStyle="1" w:styleId="53">
    <w:name w:val="列表段落 字符"/>
    <w:link w:val="52"/>
    <w:autoRedefine/>
    <w:qFormat/>
    <w:uiPriority w:val="34"/>
    <w:rPr>
      <w:rFonts w:ascii="Times New Roman" w:hAnsi="Times New Roman" w:cs="Times New Roman"/>
      <w:kern w:val="2"/>
      <w:sz w:val="21"/>
      <w:szCs w:val="24"/>
    </w:rPr>
  </w:style>
  <w:style w:type="character" w:customStyle="1" w:styleId="54">
    <w:name w:val="批注文字 字符"/>
    <w:basedOn w:val="23"/>
    <w:link w:val="7"/>
    <w:autoRedefine/>
    <w:semiHidden/>
    <w:qFormat/>
    <w:uiPriority w:val="99"/>
    <w:rPr>
      <w:kern w:val="2"/>
      <w:sz w:val="21"/>
      <w:szCs w:val="24"/>
    </w:rPr>
  </w:style>
  <w:style w:type="character" w:customStyle="1" w:styleId="55">
    <w:name w:val="批注主题 字符"/>
    <w:basedOn w:val="54"/>
    <w:link w:val="20"/>
    <w:autoRedefine/>
    <w:semiHidden/>
    <w:qFormat/>
    <w:uiPriority w:val="99"/>
    <w:rPr>
      <w:b/>
      <w:bCs/>
      <w:kern w:val="2"/>
      <w:sz w:val="21"/>
      <w:szCs w:val="24"/>
    </w:rPr>
  </w:style>
  <w:style w:type="paragraph" w:customStyle="1" w:styleId="56">
    <w:name w:val="_Style 54"/>
    <w:basedOn w:val="1"/>
    <w:next w:val="43"/>
    <w:autoRedefine/>
    <w:qFormat/>
    <w:uiPriority w:val="34"/>
    <w:pPr>
      <w:ind w:firstLine="420" w:firstLineChars="200"/>
    </w:pPr>
  </w:style>
  <w:style w:type="paragraph" w:customStyle="1" w:styleId="57">
    <w:name w:val="WPSOffice手动目录 1"/>
    <w:autoRedefine/>
    <w:qFormat/>
    <w:uiPriority w:val="0"/>
    <w:rPr>
      <w:rFonts w:ascii="Times New Roman" w:hAnsi="Times New Roman" w:eastAsia="宋体" w:cs="Times New Roman"/>
      <w:lang w:val="en-US" w:eastAsia="zh-CN" w:bidi="ar-SA"/>
    </w:rPr>
  </w:style>
  <w:style w:type="paragraph" w:customStyle="1" w:styleId="58">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59">
    <w:name w:val="标题 4 字符"/>
    <w:basedOn w:val="23"/>
    <w:link w:val="5"/>
    <w:semiHidden/>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C03500-6E72-4876-86D4-6C8498E15586}">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3366</Words>
  <Characters>19188</Characters>
  <Lines>159</Lines>
  <Paragraphs>45</Paragraphs>
  <TotalTime>14</TotalTime>
  <ScaleCrop>false</ScaleCrop>
  <LinksUpToDate>false</LinksUpToDate>
  <CharactersWithSpaces>22509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2024-03-26T07:57:00Z</dcterms:created>
  <dc:creator>USER</dc:creator>
  <cp:lastModifiedBy>张静</cp:lastModifiedBy>
  <cp:lastPrinted>2022-05-21T06:51:00Z</cp:lastPrinted>
  <dcterms:modified xsi:type="dcterms:W3CDTF">2024-03-26T08:11:46Z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