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南通大学食堂豆制品采购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lang w:val="en-US" w:eastAsia="zh-CN"/>
          <w14:textFill>
            <w14:solidFill>
              <w14:schemeClr w14:val="tx1"/>
            </w14:solidFill>
          </w14:textFill>
        </w:rPr>
        <w:t>3</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02</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lang w:val="en-US" w:eastAsia="zh-CN"/>
          <w14:textFill>
            <w14:solidFill>
              <w14:schemeClr w14:val="tx1"/>
            </w14:solidFill>
          </w14:textFill>
        </w:rPr>
        <w:t>3</w:t>
      </w:r>
      <w:r>
        <w:rPr>
          <w:rFonts w:hint="eastAsia" w:eastAsia="宋体"/>
          <w:b/>
          <w:color w:val="000000" w:themeColor="text1"/>
          <w:sz w:val="32"/>
          <w:szCs w:val="32"/>
          <w14:textFill>
            <w14:solidFill>
              <w14:schemeClr w14:val="tx1"/>
            </w14:solidFill>
          </w14:textFill>
        </w:rPr>
        <w:t>年</w:t>
      </w:r>
      <w:r>
        <w:rPr>
          <w:rFonts w:hint="eastAsia" w:eastAsia="宋体"/>
          <w:b/>
          <w:color w:val="000000" w:themeColor="text1"/>
          <w:sz w:val="32"/>
          <w:szCs w:val="32"/>
          <w:lang w:val="en-US" w:eastAsia="zh-CN"/>
          <w14:textFill>
            <w14:solidFill>
              <w14:schemeClr w14:val="tx1"/>
            </w14:solidFill>
          </w14:textFill>
        </w:rPr>
        <w:t>1</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1</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7</w:t>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1</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8</w:t>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rFonts w:hint="eastAsia"/>
          <w:color w:val="000000" w:themeColor="text1"/>
          <w14:textFill>
            <w14:solidFill>
              <w14:schemeClr w14:val="tx1"/>
            </w14:solidFill>
          </w14:textFill>
        </w:rPr>
        <w:t>1</w:t>
      </w:r>
      <w:r>
        <w:rPr>
          <w:rFonts w:hint="eastAsia"/>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9</w:t>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南通大学食堂豆制品</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一、项目名称：南通大学食堂原料豆制品采购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w:t>
      </w:r>
      <w:r>
        <w:rPr>
          <w:rFonts w:hint="eastAsia" w:ascii="宋体" w:hAnsi="宋体"/>
          <w:b/>
          <w:color w:val="000000"/>
          <w:sz w:val="24"/>
          <w:lang w:val="en-US" w:eastAsia="zh-CN"/>
        </w:rPr>
        <w:t>3</w:t>
      </w:r>
      <w:r>
        <w:rPr>
          <w:rFonts w:hint="eastAsia" w:ascii="宋体" w:hAnsi="宋体"/>
          <w:b/>
          <w:color w:val="000000"/>
          <w:sz w:val="24"/>
        </w:rPr>
        <w:t>-0</w:t>
      </w:r>
      <w:r>
        <w:rPr>
          <w:rFonts w:hint="eastAsia" w:ascii="宋体" w:hAnsi="宋体"/>
          <w:b/>
          <w:color w:val="000000"/>
          <w:sz w:val="24"/>
          <w:lang w:val="en-US" w:eastAsia="zh-CN"/>
        </w:rPr>
        <w:t>02</w:t>
      </w:r>
      <w:bookmarkStart w:id="31" w:name="_GoBack"/>
      <w:bookmarkEnd w:id="31"/>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30</w:t>
      </w:r>
      <w:r>
        <w:rPr>
          <w:rFonts w:hint="eastAsia" w:ascii="宋体" w:hAnsi="宋体"/>
          <w:b/>
          <w:color w:val="000000"/>
          <w:sz w:val="24"/>
        </w:rPr>
        <w:t>万元。</w:t>
      </w:r>
    </w:p>
    <w:p>
      <w:pPr>
        <w:widowControl/>
        <w:spacing w:line="440" w:lineRule="exact"/>
        <w:ind w:firstLine="480" w:firstLineChars="200"/>
        <w:rPr>
          <w:rFonts w:ascii="宋体" w:hAnsi="宋体"/>
          <w:color w:val="000000"/>
          <w:sz w:val="24"/>
        </w:rPr>
      </w:pPr>
      <w:r>
        <w:rPr>
          <w:rFonts w:hint="eastAsia" w:ascii="宋体" w:hAnsi="宋体"/>
          <w:color w:val="000000"/>
          <w:sz w:val="24"/>
        </w:rPr>
        <w:t>豆制品（供应啬园校区、启秀校区、钟秀校区、启东校区），供应商2家；</w:t>
      </w:r>
    </w:p>
    <w:p>
      <w:pPr>
        <w:widowControl/>
        <w:spacing w:line="440" w:lineRule="exact"/>
        <w:ind w:firstLine="482" w:firstLineChars="200"/>
        <w:rPr>
          <w:rFonts w:hint="eastAsia" w:ascii="宋体" w:hAnsi="宋体"/>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15</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15</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w:t>
      </w:r>
      <w:r>
        <w:rPr>
          <w:rFonts w:hint="eastAsia"/>
          <w:color w:val="000000" w:themeColor="text1"/>
          <w:sz w:val="24"/>
          <w:lang w:eastAsia="zh-CN"/>
          <w14:textFill>
            <w14:solidFill>
              <w14:schemeClr w14:val="tx1"/>
            </w14:solidFill>
          </w14:textFill>
        </w:rPr>
        <w:t>承诺</w:t>
      </w:r>
      <w:r>
        <w:rPr>
          <w:rFonts w:hint="eastAsia"/>
          <w:color w:val="000000" w:themeColor="text1"/>
          <w:sz w:val="24"/>
          <w14:textFill>
            <w14:solidFill>
              <w14:schemeClr w14:val="tx1"/>
            </w14:solidFill>
          </w14:textFill>
        </w:rPr>
        <w:t>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w:t>
      </w:r>
      <w:r>
        <w:rPr>
          <w:rFonts w:hint="eastAsia"/>
          <w:sz w:val="24"/>
          <w:lang w:val="en-US" w:eastAsia="zh-CN"/>
        </w:rPr>
        <w:t>2</w:t>
      </w:r>
      <w:r>
        <w:rPr>
          <w:rFonts w:hint="eastAsia"/>
          <w:sz w:val="24"/>
        </w:rPr>
        <w:t>）</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sz w:val="24"/>
        </w:rPr>
        <w:t>食品经营许可证》</w:t>
      </w:r>
      <w:r>
        <w:rPr>
          <w:rFonts w:hint="eastAsia" w:ascii="宋体" w:hAnsi="宋体"/>
          <w:sz w:val="24"/>
          <w:lang w:eastAsia="zh-CN"/>
        </w:rPr>
        <w:t>或</w:t>
      </w:r>
      <w:r>
        <w:rPr>
          <w:rFonts w:hint="eastAsia" w:ascii="宋体" w:hAnsi="宋体"/>
          <w:sz w:val="24"/>
        </w:rPr>
        <w:t>《食品生产许可证》复印件（</w:t>
      </w:r>
      <w:r>
        <w:rPr>
          <w:rFonts w:hint="eastAsia" w:ascii="宋体" w:hAnsi="宋体"/>
          <w:color w:val="000000"/>
          <w:sz w:val="24"/>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）法定代表人资格证明（格式见附件3）</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）法定代表人授权书（格式见附件4）</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bookmarkStart w:id="10" w:name="_Toc73516685"/>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60分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满足招标文件要求且综合投标价格（同一标段下明细之和作为综合报价）最低的投标报价为评标基准价，其价格分为满分，其他投标人的价格分按下列公式计算：投标报价得分＝（评标基准价/投标报价）×60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b w:val="0"/>
                <w:bCs w:val="0"/>
                <w:color w:val="FF0000"/>
                <w:kern w:val="0"/>
                <w:sz w:val="21"/>
                <w:szCs w:val="21"/>
                <w:lang w:val="en-US" w:eastAsia="zh-CN"/>
              </w:rPr>
            </w:pPr>
            <w:r>
              <w:rPr>
                <w:rFonts w:hint="eastAsia" w:cs="宋体" w:asciiTheme="minorEastAsia" w:hAnsiTheme="minorEastAsia" w:eastAsiaTheme="minorEastAsia"/>
                <w:lang w:val="en-US" w:eastAsia="zh-CN" w:bidi="zh-TW"/>
              </w:rPr>
              <w:t>1.</w:t>
            </w: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w:t>
            </w:r>
            <w:r>
              <w:rPr>
                <w:rFonts w:hint="eastAsia" w:ascii="宋体" w:hAnsi="宋体" w:cs="宋体"/>
                <w:bCs/>
                <w:color w:val="000000"/>
                <w:kern w:val="0"/>
                <w:szCs w:val="21"/>
                <w:lang w:eastAsia="zh-CN"/>
              </w:rPr>
              <w:t>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eastAsia="zh-CN" w:bidi="zh-TW"/>
              </w:rPr>
              <w:t>，</w:t>
            </w:r>
            <w:r>
              <w:rPr>
                <w:rFonts w:hint="eastAsia" w:ascii="宋体" w:hAnsi="宋体" w:cs="宋体"/>
                <w:bCs/>
                <w:color w:val="000000"/>
                <w:kern w:val="0"/>
                <w:szCs w:val="21"/>
              </w:rPr>
              <w:t>每项认证证书得</w:t>
            </w:r>
            <w:r>
              <w:rPr>
                <w:rFonts w:hint="eastAsia" w:ascii="宋体" w:hAnsi="宋体" w:cs="宋体"/>
                <w:bCs/>
                <w:color w:val="000000"/>
                <w:kern w:val="0"/>
                <w:szCs w:val="21"/>
                <w:lang w:val="en-US" w:eastAsia="zh-CN"/>
              </w:rPr>
              <w:t>1</w:t>
            </w:r>
            <w:r>
              <w:rPr>
                <w:rFonts w:hint="eastAsia" w:ascii="宋体" w:hAnsi="宋体" w:cs="宋体"/>
                <w:bCs/>
                <w:color w:val="000000"/>
                <w:kern w:val="0"/>
                <w:szCs w:val="21"/>
              </w:rPr>
              <w:t>分。</w:t>
            </w:r>
            <w:r>
              <w:rPr>
                <w:rFonts w:hint="eastAsia" w:ascii="宋体" w:hAnsi="宋体" w:cs="宋体"/>
                <w:bCs/>
                <w:color w:val="000000"/>
                <w:kern w:val="0"/>
                <w:szCs w:val="21"/>
                <w:lang w:eastAsia="zh-CN"/>
              </w:rPr>
              <w:t>（</w:t>
            </w:r>
            <w:r>
              <w:rPr>
                <w:rFonts w:hint="eastAsia" w:ascii="宋体" w:hAnsi="宋体" w:cs="宋体"/>
                <w:bCs/>
                <w:color w:val="000000"/>
                <w:kern w:val="0"/>
                <w:szCs w:val="21"/>
                <w:lang w:val="en-US" w:eastAsia="zh-CN"/>
              </w:rPr>
              <w:t>4分）</w:t>
            </w:r>
          </w:p>
          <w:p>
            <w:pPr>
              <w:widowControl/>
              <w:spacing w:line="340" w:lineRule="exact"/>
              <w:jc w:val="left"/>
              <w:rPr>
                <w:rFonts w:ascii="宋体" w:hAnsi="宋体" w:cs="宋体"/>
                <w:color w:val="FF0000"/>
                <w:kern w:val="0"/>
                <w:szCs w:val="21"/>
              </w:rPr>
            </w:pPr>
            <w:r>
              <w:rPr>
                <w:rFonts w:hint="eastAsia" w:ascii="宋体" w:hAnsi="宋体" w:cs="宋体"/>
                <w:bCs/>
                <w:szCs w:val="21"/>
                <w:lang w:val="en-US" w:eastAsia="zh-CN"/>
              </w:rPr>
              <w:t>2.</w:t>
            </w:r>
            <w:r>
              <w:rPr>
                <w:rFonts w:hint="eastAsia" w:ascii="宋体" w:hAnsi="宋体" w:cs="宋体"/>
                <w:bCs/>
                <w:szCs w:val="21"/>
              </w:rPr>
              <w:t>企业诚信管理体系认证证书</w:t>
            </w:r>
            <w:r>
              <w:rPr>
                <w:rFonts w:hint="eastAsia" w:ascii="宋体" w:hAnsi="宋体" w:cs="宋体"/>
                <w:bCs/>
                <w:szCs w:val="21"/>
                <w:lang w:eastAsia="zh-CN"/>
              </w:rPr>
              <w:t>。</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w:t>
            </w:r>
            <w:r>
              <w:rPr>
                <w:rFonts w:hint="eastAsia" w:ascii="宋体" w:hAnsi="宋体" w:cs="宋体"/>
                <w:bCs/>
                <w:szCs w:val="21"/>
                <w:lang w:val="en-US" w:eastAsia="zh-CN"/>
              </w:rPr>
              <w:t>1</w:t>
            </w:r>
            <w:r>
              <w:rPr>
                <w:rFonts w:hint="eastAsia" w:ascii="宋体" w:hAnsi="宋体" w:cs="宋体"/>
                <w:bCs/>
                <w:szCs w:val="21"/>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continue"/>
            <w:tcBorders>
              <w:left w:val="single" w:color="auto" w:sz="4" w:space="0"/>
              <w:right w:val="single" w:color="auto" w:sz="4" w:space="0"/>
            </w:tcBorders>
            <w:vAlign w:val="center"/>
          </w:tcPr>
          <w:p>
            <w:pPr>
              <w:widowControl/>
              <w:spacing w:line="340" w:lineRule="exact"/>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left w:val="single" w:color="auto" w:sz="4" w:space="0"/>
              <w:right w:val="single" w:color="auto" w:sz="4" w:space="0"/>
            </w:tcBorders>
            <w:vAlign w:val="center"/>
          </w:tcPr>
          <w:p>
            <w:pPr>
              <w:widowControl/>
              <w:spacing w:line="340" w:lineRule="exact"/>
              <w:jc w:val="center"/>
              <w:rPr>
                <w:rFonts w:hint="eastAsia"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hint="eastAsia" w:asciiTheme="minorEastAsia" w:hAnsiTheme="minorEastAsia" w:eastAsiaTheme="minorEastAsia" w:cstheme="minorEastAsia"/>
                <w:color w:val="000000" w:themeColor="text1"/>
                <w:kern w:val="0"/>
                <w:sz w:val="21"/>
                <w:szCs w:val="21"/>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ind w:right="-51"/>
              <w:rPr>
                <w:rFonts w:hint="eastAsia" w:ascii="宋体" w:hAnsi="宋体" w:cs="宋体"/>
                <w:bCs/>
                <w:szCs w:val="21"/>
                <w:lang w:eastAsia="zh-CN"/>
              </w:rPr>
            </w:pPr>
            <w:r>
              <w:rPr>
                <w:rFonts w:hint="eastAsia" w:ascii="宋体" w:hAnsi="宋体" w:cs="宋体"/>
                <w:bCs/>
                <w:szCs w:val="21"/>
                <w:lang w:val="en-US" w:eastAsia="zh-CN"/>
              </w:rPr>
              <w:t>2020年以来，</w:t>
            </w:r>
            <w:r>
              <w:rPr>
                <w:rFonts w:hint="eastAsia" w:ascii="宋体" w:hAnsi="宋体" w:cs="宋体"/>
                <w:bCs/>
                <w:szCs w:val="21"/>
                <w:lang w:eastAsia="zh-CN"/>
              </w:rPr>
              <w:t>投标人获得</w:t>
            </w:r>
            <w:r>
              <w:rPr>
                <w:rFonts w:hint="eastAsia" w:ascii="宋体" w:hAnsi="宋体" w:cs="宋体"/>
                <w:bCs/>
                <w:szCs w:val="21"/>
              </w:rPr>
              <w:t>政府部门</w:t>
            </w:r>
            <w:r>
              <w:rPr>
                <w:rFonts w:hint="eastAsia" w:ascii="宋体" w:hAnsi="宋体" w:cs="宋体"/>
                <w:bCs/>
                <w:szCs w:val="21"/>
                <w:lang w:eastAsia="zh-CN"/>
              </w:rPr>
              <w:t>或行业协会</w:t>
            </w:r>
            <w:r>
              <w:rPr>
                <w:rFonts w:hint="eastAsia" w:ascii="宋体" w:hAnsi="宋体" w:cs="宋体"/>
                <w:bCs/>
                <w:szCs w:val="21"/>
              </w:rPr>
              <w:t>颁发</w:t>
            </w:r>
            <w:r>
              <w:rPr>
                <w:rFonts w:hint="eastAsia" w:ascii="宋体" w:hAnsi="宋体" w:cs="宋体"/>
                <w:bCs/>
                <w:szCs w:val="21"/>
                <w:lang w:eastAsia="zh-CN"/>
              </w:rPr>
              <w:t>的奖项或荣誉：</w:t>
            </w:r>
            <w:r>
              <w:rPr>
                <w:rFonts w:hint="eastAsia" w:ascii="宋体" w:hAnsi="宋体"/>
                <w:szCs w:val="21"/>
              </w:rPr>
              <w:t>国家级每个得3分、省级每个得2分、（地）市级每个得1分</w:t>
            </w:r>
            <w:r>
              <w:rPr>
                <w:rFonts w:hint="eastAsia" w:ascii="宋体" w:hAnsi="宋体"/>
                <w:szCs w:val="21"/>
                <w:lang w:eastAsia="zh-CN"/>
              </w:rPr>
              <w:t>，</w:t>
            </w:r>
            <w:r>
              <w:rPr>
                <w:rFonts w:hint="eastAsia" w:ascii="宋体" w:hAnsi="宋体" w:cs="宋体"/>
                <w:bCs/>
                <w:szCs w:val="21"/>
                <w:lang w:val="en-US" w:eastAsia="zh-CN"/>
              </w:rPr>
              <w:t>最多得3分。</w:t>
            </w:r>
            <w:r>
              <w:rPr>
                <w:rFonts w:hint="eastAsia" w:ascii="宋体" w:hAnsi="宋体" w:cs="宋体"/>
                <w:bCs/>
                <w:szCs w:val="21"/>
                <w:lang w:eastAsia="zh-CN"/>
              </w:rPr>
              <w:t>（</w:t>
            </w:r>
            <w:r>
              <w:rPr>
                <w:rFonts w:hint="eastAsia" w:ascii="宋体" w:hAnsi="宋体" w:cs="宋体"/>
                <w:bCs/>
                <w:szCs w:val="21"/>
                <w:lang w:val="en-US" w:eastAsia="zh-CN"/>
              </w:rPr>
              <w:t>3</w:t>
            </w:r>
            <w:r>
              <w:rPr>
                <w:rFonts w:hint="eastAsia" w:ascii="宋体" w:hAnsi="宋体" w:cs="宋体"/>
                <w:bCs/>
                <w:szCs w:val="21"/>
              </w:rPr>
              <w:t>分</w:t>
            </w:r>
            <w:r>
              <w:rPr>
                <w:rFonts w:hint="eastAsia" w:ascii="宋体" w:hAnsi="宋体" w:cs="宋体"/>
                <w:bCs/>
                <w:szCs w:val="21"/>
                <w:lang w:eastAsia="zh-CN"/>
              </w:rPr>
              <w:t>）</w:t>
            </w:r>
          </w:p>
          <w:p>
            <w:pPr>
              <w:ind w:right="-51" w:rightChars="0"/>
              <w:rPr>
                <w:rFonts w:hint="eastAsia" w:asciiTheme="minorEastAsia" w:hAnsiTheme="minorEastAsia" w:eastAsiaTheme="minorEastAsia" w:cstheme="minorEastAsia"/>
                <w:color w:val="000000" w:themeColor="text1"/>
                <w:kern w:val="0"/>
                <w:sz w:val="21"/>
                <w:szCs w:val="21"/>
                <w:lang w:val="en-US" w:eastAsia="zh-CN" w:bidi="ar-SA"/>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社会公益    （3分）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20</w:t>
            </w:r>
            <w:r>
              <w:rPr>
                <w:rFonts w:hint="eastAsia" w:asciiTheme="minorEastAsia" w:hAnsiTheme="minorEastAsia" w:eastAsiaTheme="minorEastAsia" w:cstheme="minorEastAsia"/>
                <w:kern w:val="0"/>
                <w:szCs w:val="21"/>
                <w:lang w:val="en-US" w:eastAsia="zh-CN"/>
              </w:rPr>
              <w:t>20</w:t>
            </w:r>
            <w:r>
              <w:rPr>
                <w:rFonts w:hint="eastAsia" w:asciiTheme="minorEastAsia" w:hAnsiTheme="minorEastAsia" w:eastAsiaTheme="minorEastAsia" w:cstheme="minorEastAsia"/>
                <w:kern w:val="0"/>
                <w:szCs w:val="21"/>
              </w:rPr>
              <w:t>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w:t>
            </w:r>
            <w:r>
              <w:rPr>
                <w:rFonts w:hint="eastAsia" w:ascii="宋体" w:hAnsi="宋体" w:cs="宋体"/>
                <w:szCs w:val="21"/>
                <w:lang w:val="en-US" w:eastAsia="zh-CN"/>
              </w:rPr>
              <w:t>3</w:t>
            </w:r>
            <w:r>
              <w:rPr>
                <w:rFonts w:hint="eastAsia" w:ascii="宋体" w:hAnsi="宋体" w:cs="宋体"/>
                <w:szCs w:val="21"/>
              </w:rPr>
              <w:t>分，良好2分，一般1分，没有得0分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提供政府、机关事业单位相关证明材料复印件，否则不得分</w:t>
            </w:r>
            <w:r>
              <w:rPr>
                <w:rFonts w:hint="eastAsia" w:ascii="宋体" w:hAnsi="宋体" w:cs="宋体"/>
                <w:bCs/>
                <w:szCs w:val="21"/>
                <w:lang w:eastAsia="zh-CN"/>
              </w:rPr>
              <w:t>，</w:t>
            </w:r>
            <w:r>
              <w:rPr>
                <w:rFonts w:hint="eastAsia" w:ascii="宋体" w:hAnsi="宋体" w:cs="宋体"/>
                <w:szCs w:val="21"/>
              </w:rPr>
              <w:t>原件备查</w:t>
            </w:r>
            <w:r>
              <w:rPr>
                <w:rFonts w:hint="eastAsia" w:ascii="宋体" w:hAnsi="宋体" w:cs="宋体"/>
                <w:szCs w:val="21"/>
                <w:lang w:eastAsia="zh-CN"/>
              </w:rPr>
              <w:t>。</w:t>
            </w:r>
            <w:r>
              <w:rPr>
                <w:rFonts w:hint="eastAsia" w:ascii="宋体" w:hAnsi="宋体" w:cs="宋体"/>
                <w:bCs/>
                <w:szCs w:val="21"/>
                <w:lang w:eastAsia="zh-CN"/>
              </w:rPr>
              <w:t>（</w:t>
            </w:r>
            <w:r>
              <w:rPr>
                <w:rFonts w:hint="eastAsia" w:ascii="宋体" w:hAnsi="宋体" w:cs="宋体"/>
                <w:bCs/>
                <w:szCs w:val="21"/>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Calibri" w:hAnsi="Calibri"/>
                <w:color w:val="auto"/>
              </w:rPr>
            </w:pPr>
            <w:r>
              <w:rPr>
                <w:rFonts w:hint="eastAsia" w:ascii="宋体" w:hAnsi="宋体" w:cs="宋体"/>
                <w:color w:val="auto"/>
                <w:szCs w:val="21"/>
              </w:rPr>
              <w:t>投标人自20</w:t>
            </w:r>
            <w:r>
              <w:rPr>
                <w:rFonts w:hint="eastAsia" w:ascii="宋体" w:hAnsi="宋体" w:cs="宋体"/>
                <w:color w:val="auto"/>
                <w:szCs w:val="21"/>
                <w:lang w:val="en-US" w:eastAsia="zh-CN"/>
              </w:rPr>
              <w:t>20</w:t>
            </w:r>
            <w:r>
              <w:rPr>
                <w:rFonts w:hint="eastAsia" w:ascii="宋体" w:hAnsi="宋体" w:cs="宋体"/>
                <w:color w:val="auto"/>
                <w:szCs w:val="21"/>
              </w:rPr>
              <w:t>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的有效证明材料得1分。（以合同签订时间为准，</w:t>
            </w:r>
            <w:r>
              <w:rPr>
                <w:rFonts w:ascii="Calibri" w:hAnsi="Calibri"/>
                <w:color w:val="auto"/>
              </w:rPr>
              <w:t>同一单位</w:t>
            </w:r>
            <w:r>
              <w:rPr>
                <w:rFonts w:hint="eastAsia" w:ascii="Calibri" w:hAnsi="Calibri"/>
                <w:color w:val="auto"/>
              </w:rPr>
              <w:t>不</w:t>
            </w:r>
            <w:r>
              <w:rPr>
                <w:rFonts w:ascii="Calibri" w:hAnsi="Calibri"/>
                <w:color w:val="auto"/>
              </w:rPr>
              <w:t>重复得分</w:t>
            </w:r>
            <w:r>
              <w:rPr>
                <w:rFonts w:hint="eastAsia" w:ascii="Calibri" w:hAnsi="Calibri"/>
                <w:color w:val="auto"/>
              </w:rPr>
              <w:t>）（</w:t>
            </w:r>
            <w:r>
              <w:rPr>
                <w:rFonts w:hint="eastAsia" w:ascii="Calibri" w:hAnsi="Calibri"/>
                <w:color w:val="auto"/>
                <w:lang w:val="en-US" w:eastAsia="zh-CN"/>
              </w:rPr>
              <w:t>5</w:t>
            </w:r>
            <w:r>
              <w:rPr>
                <w:rFonts w:hint="eastAsia" w:ascii="Calibri" w:hAnsi="Calibri"/>
                <w:color w:val="auto"/>
              </w:rPr>
              <w:t>分）</w:t>
            </w:r>
          </w:p>
          <w:p>
            <w:pPr>
              <w:widowControl/>
              <w:spacing w:line="340" w:lineRule="exact"/>
              <w:jc w:val="left"/>
              <w:rPr>
                <w:rFonts w:asciiTheme="minorEastAsia" w:hAnsiTheme="minorEastAsia" w:eastAsiaTheme="minorEastAsia" w:cstheme="minorEastAsia"/>
                <w:color w:val="FF0000"/>
                <w:kern w:val="0"/>
                <w:szCs w:val="21"/>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1.管理方案和举措（含食材卫生安全保障机制、质量保障机制、配送业务操作流程等）根据投标人提供的材料横向对比，优秀5</w:t>
            </w:r>
            <w:r>
              <w:rPr>
                <w:rFonts w:hint="eastAsia" w:ascii="宋体" w:hAnsi="宋体" w:cs="宋体"/>
                <w:szCs w:val="21"/>
                <w:lang w:val="en-US" w:eastAsia="zh-CN"/>
              </w:rPr>
              <w:t>-6</w:t>
            </w:r>
            <w:r>
              <w:rPr>
                <w:rFonts w:hint="eastAsia" w:ascii="宋体" w:hAnsi="宋体" w:cs="宋体"/>
                <w:szCs w:val="21"/>
              </w:rPr>
              <w:t>分，良好3-4分，一般1-2分；（</w:t>
            </w:r>
            <w:r>
              <w:rPr>
                <w:rFonts w:hint="eastAsia" w:ascii="宋体" w:hAnsi="宋体" w:cs="宋体"/>
                <w:szCs w:val="21"/>
                <w:lang w:val="en-US" w:eastAsia="zh-CN"/>
              </w:rPr>
              <w:t>6</w:t>
            </w:r>
            <w:r>
              <w:rPr>
                <w:rFonts w:hint="eastAsia" w:ascii="宋体" w:hAnsi="宋体" w:cs="宋体"/>
                <w:szCs w:val="21"/>
              </w:rPr>
              <w:t>分）</w:t>
            </w:r>
          </w:p>
          <w:p>
            <w:pPr>
              <w:tabs>
                <w:tab w:val="left" w:pos="464"/>
              </w:tabs>
              <w:rPr>
                <w:rFonts w:hint="default" w:ascii="宋体" w:hAnsi="宋体" w:eastAsia="宋体" w:cs="宋体"/>
                <w:szCs w:val="21"/>
                <w:lang w:val="en-US" w:eastAsia="zh-CN"/>
              </w:rPr>
            </w:pPr>
            <w:r>
              <w:rPr>
                <w:rFonts w:hint="eastAsia" w:ascii="宋体" w:hAnsi="宋体" w:cs="宋体"/>
                <w:szCs w:val="21"/>
              </w:rPr>
              <w:t>2.提供应急处</w:t>
            </w:r>
            <w:r>
              <w:rPr>
                <w:rFonts w:hint="eastAsia" w:ascii="宋体" w:hAnsi="宋体" w:cs="宋体"/>
                <w:szCs w:val="21"/>
                <w:lang w:val="en-US" w:eastAsia="zh-CN"/>
              </w:rPr>
              <w:t>置</w:t>
            </w:r>
            <w:r>
              <w:rPr>
                <w:rFonts w:hint="eastAsia" w:ascii="宋体" w:hAnsi="宋体" w:cs="宋体"/>
                <w:szCs w:val="21"/>
              </w:rPr>
              <w:t>的实施方案</w:t>
            </w:r>
            <w:r>
              <w:rPr>
                <w:rFonts w:hint="eastAsia" w:ascii="宋体" w:hAnsi="宋体" w:cs="宋体"/>
                <w:szCs w:val="21"/>
                <w:lang w:eastAsia="zh-CN"/>
              </w:rPr>
              <w:t>，</w:t>
            </w:r>
            <w:r>
              <w:rPr>
                <w:rFonts w:hint="eastAsia" w:ascii="宋体" w:hAnsi="宋体" w:cs="宋体"/>
                <w:szCs w:val="21"/>
              </w:rPr>
              <w:t>根据投标人提供的材料横向对比，优秀</w:t>
            </w:r>
            <w:r>
              <w:rPr>
                <w:rFonts w:ascii="宋体" w:hAnsi="宋体" w:cs="宋体"/>
                <w:szCs w:val="21"/>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分，一般1分，没有</w:t>
            </w:r>
            <w:r>
              <w:rPr>
                <w:rFonts w:hint="eastAsia" w:ascii="宋体" w:hAnsi="宋体" w:cs="宋体"/>
                <w:szCs w:val="21"/>
                <w:lang w:eastAsia="zh-CN"/>
              </w:rPr>
              <w:t>不</w:t>
            </w:r>
            <w:r>
              <w:rPr>
                <w:rFonts w:hint="eastAsia" w:ascii="宋体" w:hAnsi="宋体" w:cs="宋体"/>
                <w:szCs w:val="21"/>
              </w:rPr>
              <w:t>得分；</w:t>
            </w:r>
            <w:r>
              <w:rPr>
                <w:rFonts w:hint="eastAsia" w:ascii="宋体" w:hAnsi="宋体" w:cs="宋体"/>
                <w:szCs w:val="21"/>
                <w:lang w:eastAsia="zh-CN"/>
              </w:rPr>
              <w:t>（</w:t>
            </w:r>
            <w:r>
              <w:rPr>
                <w:rFonts w:hint="eastAsia" w:ascii="宋体" w:hAnsi="宋体" w:cs="宋体"/>
                <w:szCs w:val="21"/>
                <w:lang w:val="en-US" w:eastAsia="zh-CN"/>
              </w:rPr>
              <w:t>4分）</w:t>
            </w:r>
          </w:p>
          <w:p>
            <w:pPr>
              <w:tabs>
                <w:tab w:val="left" w:pos="464"/>
              </w:tabs>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3.本地化服务方案，</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w:t>
            </w:r>
            <w:r>
              <w:rPr>
                <w:rFonts w:hint="eastAsia" w:ascii="宋体" w:hAnsi="宋体" w:cs="宋体"/>
                <w:szCs w:val="21"/>
                <w:lang w:val="en-US" w:eastAsia="zh-CN"/>
              </w:rPr>
              <w:t>1</w:t>
            </w:r>
            <w:r>
              <w:rPr>
                <w:rFonts w:hint="eastAsia" w:ascii="宋体" w:hAnsi="宋体" w:cs="宋体"/>
                <w:szCs w:val="21"/>
              </w:rPr>
              <w:t>分，没有</w:t>
            </w:r>
            <w:r>
              <w:rPr>
                <w:rFonts w:hint="eastAsia" w:ascii="宋体" w:hAnsi="宋体" w:cs="宋体"/>
                <w:szCs w:val="21"/>
                <w:lang w:val="en-US" w:eastAsia="zh-CN"/>
              </w:rPr>
              <w:t>不</w:t>
            </w:r>
            <w:r>
              <w:rPr>
                <w:rFonts w:hint="eastAsia" w:ascii="宋体" w:hAnsi="宋体" w:cs="宋体"/>
                <w:szCs w:val="21"/>
              </w:rPr>
              <w:t>得分</w:t>
            </w:r>
            <w:r>
              <w:rPr>
                <w:rFonts w:hint="eastAsia" w:ascii="宋体" w:hAnsi="宋体" w:cs="宋体"/>
                <w:color w:val="000000" w:themeColor="text1"/>
                <w:kern w:val="0"/>
                <w:szCs w:val="21"/>
                <w:lang w:val="en-US" w:eastAsia="zh-CN"/>
                <w14:textFill>
                  <w14:solidFill>
                    <w14:schemeClr w14:val="tx1"/>
                  </w14:solidFill>
                </w14:textFill>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color w:val="000000"/>
                <w:kern w:val="0"/>
                <w:szCs w:val="21"/>
              </w:rPr>
            </w:pPr>
            <w:r>
              <w:rPr>
                <w:rFonts w:hint="eastAsia" w:ascii="宋体" w:hAnsi="宋体" w:cs="宋体"/>
                <w:szCs w:val="21"/>
              </w:rPr>
              <w:t>冷藏仓储仓库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ascii="宋体" w:hAnsi="宋体" w:cs="宋体"/>
                <w:color w:val="auto"/>
                <w:kern w:val="0"/>
                <w:szCs w:val="21"/>
              </w:rPr>
              <w:t>4</w:t>
            </w:r>
            <w:r>
              <w:rPr>
                <w:rFonts w:hint="eastAsia" w:ascii="宋体" w:hAnsi="宋体" w:cs="宋体"/>
                <w:color w:val="auto"/>
                <w:kern w:val="0"/>
                <w:szCs w:val="21"/>
              </w:rPr>
              <w:t>分， 600平方米（含）至800平方米</w:t>
            </w:r>
            <w:r>
              <w:rPr>
                <w:rFonts w:hint="eastAsia" w:ascii="宋体" w:hAnsi="宋体" w:cs="宋体"/>
                <w:bCs/>
                <w:color w:val="auto"/>
                <w:szCs w:val="21"/>
              </w:rPr>
              <w:t>得</w:t>
            </w:r>
            <w:r>
              <w:rPr>
                <w:rFonts w:ascii="宋体" w:hAnsi="宋体" w:cs="宋体"/>
                <w:bCs/>
                <w:color w:val="auto"/>
                <w:szCs w:val="21"/>
              </w:rPr>
              <w:t>3</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w:t>
            </w:r>
            <w:r>
              <w:rPr>
                <w:rFonts w:ascii="宋体" w:hAnsi="宋体" w:cs="宋体"/>
                <w:bCs/>
                <w:color w:val="auto"/>
                <w:szCs w:val="21"/>
              </w:rPr>
              <w:t>2</w:t>
            </w:r>
            <w:r>
              <w:rPr>
                <w:rFonts w:hint="eastAsia" w:ascii="宋体" w:hAnsi="宋体" w:cs="宋体"/>
                <w:color w:val="auto"/>
                <w:kern w:val="0"/>
                <w:szCs w:val="21"/>
              </w:rPr>
              <w:t>分，200平方米（含）至400平方米</w:t>
            </w:r>
            <w:r>
              <w:rPr>
                <w:rFonts w:hint="eastAsia" w:ascii="宋体" w:hAnsi="宋体" w:cs="宋体"/>
                <w:bCs/>
                <w:color w:val="auto"/>
                <w:szCs w:val="21"/>
              </w:rPr>
              <w:t>得</w:t>
            </w:r>
            <w:r>
              <w:rPr>
                <w:rFonts w:ascii="宋体" w:hAnsi="宋体" w:cs="宋体"/>
                <w:bCs/>
                <w:color w:val="auto"/>
                <w:szCs w:val="21"/>
              </w:rPr>
              <w:t>1</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不得分；（4分）</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w:t>
            </w:r>
            <w:r>
              <w:rPr>
                <w:rFonts w:hint="eastAsia" w:ascii="宋体" w:hAnsi="宋体" w:cs="宋体"/>
                <w:szCs w:val="21"/>
              </w:rPr>
              <w:t>原件备查</w:t>
            </w:r>
            <w:r>
              <w:rPr>
                <w:rFonts w:hint="eastAsia" w:ascii="宋体" w:hAnsi="宋体" w:cs="宋体"/>
                <w:color w:val="00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w:t>
            </w:r>
            <w:r>
              <w:rPr>
                <w:rFonts w:hint="eastAsia" w:ascii="宋体" w:hAnsi="宋体" w:cs="宋体"/>
                <w:szCs w:val="21"/>
                <w:lang w:val="en-US" w:eastAsia="zh-CN"/>
              </w:rPr>
              <w:t>5</w:t>
            </w:r>
            <w:r>
              <w:rPr>
                <w:rFonts w:hint="eastAsia" w:ascii="宋体" w:hAnsi="宋体" w:cs="宋体"/>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需提供冷链配送车辆，投标人每提供一辆自有运输车辆得</w:t>
            </w:r>
            <w:r>
              <w:rPr>
                <w:rFonts w:hint="eastAsia" w:ascii="宋体" w:hAnsi="宋体" w:cs="宋体"/>
                <w:szCs w:val="21"/>
                <w:lang w:val="en-US" w:eastAsia="zh-CN"/>
              </w:rPr>
              <w:t>3</w:t>
            </w:r>
            <w:r>
              <w:rPr>
                <w:rFonts w:hint="eastAsia" w:ascii="宋体" w:hAnsi="宋体" w:cs="宋体"/>
                <w:szCs w:val="21"/>
              </w:rPr>
              <w:t>分，提供一辆租赁运输车辆得1分，租赁车辆最高得2分。须提供相关证明材料（自有车辆所有人为投标单位，须提供运输车辆行驶证复印件、车辆外观及安装制冷设备彩色照片。租赁车辆须提供租赁企业道路经营许可证复印件、租赁车辆合同复印件、运输车辆的机动车行驶证复印件、车辆外观及安装制冷设备彩色照片，所有复印件模糊不清的不得分，</w:t>
            </w:r>
            <w:r>
              <w:rPr>
                <w:rFonts w:hint="eastAsia" w:ascii="宋体" w:hAnsi="宋体" w:cs="宋体"/>
                <w:color w:val="000000"/>
                <w:kern w:val="0"/>
                <w:szCs w:val="21"/>
              </w:rPr>
              <w:t>原件备查</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rFonts w:hint="eastAsia"/>
          <w:color w:val="000000" w:themeColor="text1"/>
          <w:sz w:val="24"/>
          <w:lang w:eastAsia="zh-CN"/>
          <w14:textFill>
            <w14:solidFill>
              <w14:schemeClr w14:val="tx1"/>
            </w14:solidFill>
          </w14:textFill>
        </w:rPr>
        <w:t>，</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bookmarkStart w:id="14" w:name="_Toc73516690"/>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
      <w:pPr>
        <w:pStyle w:val="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1.豆制品必须符合国家标准GB2712-2014；</w:t>
      </w:r>
    </w:p>
    <w:p>
      <w:pPr>
        <w:spacing w:line="440" w:lineRule="exact"/>
        <w:ind w:firstLine="480" w:firstLineChars="200"/>
        <w:rPr>
          <w:rFonts w:ascii="宋体" w:hAnsi="宋体" w:cs="宋体"/>
          <w:kern w:val="0"/>
          <w:sz w:val="24"/>
        </w:rPr>
      </w:pPr>
      <w:r>
        <w:rPr>
          <w:rFonts w:hint="eastAsia" w:ascii="宋体" w:hAnsi="宋体" w:cs="宋体"/>
          <w:kern w:val="0"/>
          <w:sz w:val="24"/>
        </w:rPr>
        <w:t>2.具有固有色泽和香味，无污染、色泽、气味、口味正常，无异味或霉味（霉变），无杂质异物等；</w:t>
      </w:r>
    </w:p>
    <w:p>
      <w:pPr>
        <w:spacing w:line="440" w:lineRule="exact"/>
        <w:ind w:firstLine="480" w:firstLineChars="200"/>
        <w:rPr>
          <w:rFonts w:ascii="宋体" w:hAnsi="宋体" w:cs="宋体"/>
          <w:kern w:val="0"/>
          <w:sz w:val="24"/>
        </w:rPr>
      </w:pPr>
      <w:r>
        <w:rPr>
          <w:rFonts w:ascii="宋体" w:hAnsi="宋体" w:cs="宋体"/>
          <w:kern w:val="0"/>
          <w:sz w:val="24"/>
        </w:rPr>
        <w:t>3.所供每批次产品必须出具</w:t>
      </w:r>
      <w:r>
        <w:rPr>
          <w:rFonts w:hint="eastAsia" w:ascii="宋体" w:hAnsi="宋体" w:cs="宋体"/>
          <w:kern w:val="0"/>
          <w:sz w:val="24"/>
        </w:rPr>
        <w:t>“食安南通一票通”溯源单</w:t>
      </w:r>
      <w:r>
        <w:rPr>
          <w:rFonts w:ascii="宋体" w:hAnsi="宋体" w:cs="宋体"/>
          <w:kern w:val="0"/>
          <w:sz w:val="24"/>
        </w:rPr>
        <w:t>。</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spacing w:line="380" w:lineRule="exact"/>
        <w:ind w:firstLine="480" w:firstLineChars="200"/>
        <w:rPr>
          <w:rFonts w:ascii="宋体" w:hAnsi="宋体" w:cs="宋体"/>
          <w:kern w:val="0"/>
          <w:sz w:val="24"/>
        </w:rPr>
      </w:pPr>
      <w:r>
        <w:rPr>
          <w:rFonts w:hint="eastAsia" w:ascii="宋体" w:hAnsi="宋体" w:cs="宋体"/>
          <w:kern w:val="0"/>
          <w:sz w:val="24"/>
          <w:lang w:val="en-US" w:eastAsia="zh-CN"/>
        </w:rPr>
        <w:t>1</w:t>
      </w:r>
      <w:r>
        <w:rPr>
          <w:rFonts w:hint="eastAsia" w:ascii="宋体" w:hAnsi="宋体" w:cs="宋体"/>
          <w:kern w:val="0"/>
          <w:sz w:val="24"/>
        </w:rPr>
        <w:t>.</w:t>
      </w:r>
      <w:r>
        <w:rPr>
          <w:rFonts w:hint="eastAsia" w:ascii="宋体" w:hAnsi="宋体" w:cs="宋体"/>
          <w:b/>
          <w:bCs/>
          <w:kern w:val="0"/>
          <w:sz w:val="24"/>
        </w:rPr>
        <w:t>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kern w:val="0"/>
          <w:sz w:val="24"/>
        </w:rPr>
        <w:t>投标报价包括成本、包装、运输、上下力、保险、利润、税金、政策性规费以及所有风险。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2</w:t>
      </w:r>
      <w:r>
        <w:rPr>
          <w:rFonts w:hint="eastAsia" w:ascii="宋体" w:hAnsi="宋体" w:cs="宋体"/>
          <w:kern w:val="0"/>
          <w:sz w:val="24"/>
        </w:rPr>
        <w:t>.供货周期：20</w:t>
      </w:r>
      <w:r>
        <w:rPr>
          <w:rFonts w:ascii="宋体" w:hAnsi="宋体" w:cs="宋体"/>
          <w:kern w:val="0"/>
          <w:sz w:val="24"/>
        </w:rPr>
        <w:t>2</w:t>
      </w:r>
      <w:r>
        <w:rPr>
          <w:rFonts w:hint="eastAsia" w:ascii="宋体" w:hAnsi="宋体" w:cs="宋体"/>
          <w:kern w:val="0"/>
          <w:sz w:val="24"/>
          <w:lang w:val="en-US" w:eastAsia="zh-CN"/>
        </w:rPr>
        <w:t>3</w:t>
      </w:r>
      <w:r>
        <w:rPr>
          <w:rFonts w:hint="eastAsia" w:ascii="宋体" w:hAnsi="宋体" w:cs="宋体"/>
          <w:kern w:val="0"/>
          <w:sz w:val="24"/>
        </w:rPr>
        <w:t>年</w:t>
      </w:r>
      <w:r>
        <w:rPr>
          <w:rFonts w:hint="eastAsia" w:ascii="宋体" w:hAnsi="宋体" w:cs="宋体"/>
          <w:kern w:val="0"/>
          <w:sz w:val="24"/>
          <w:lang w:val="en-US" w:eastAsia="zh-CN"/>
        </w:rPr>
        <w:t>2</w:t>
      </w:r>
      <w:r>
        <w:rPr>
          <w:rFonts w:hint="eastAsia" w:ascii="宋体" w:hAnsi="宋体" w:cs="宋体"/>
          <w:kern w:val="0"/>
          <w:sz w:val="24"/>
        </w:rPr>
        <w:t>月26日-2023年</w:t>
      </w:r>
      <w:r>
        <w:rPr>
          <w:rFonts w:hint="eastAsia" w:ascii="宋体" w:hAnsi="宋体" w:cs="宋体"/>
          <w:kern w:val="0"/>
          <w:sz w:val="24"/>
          <w:lang w:val="en-US" w:eastAsia="zh-CN"/>
        </w:rPr>
        <w:t>8</w:t>
      </w:r>
      <w:r>
        <w:rPr>
          <w:rFonts w:hint="eastAsia" w:ascii="宋体" w:hAnsi="宋体" w:cs="宋体"/>
          <w:kern w:val="0"/>
          <w:sz w:val="24"/>
        </w:rPr>
        <w:t>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次日早上7点30分前送至各校区食堂。调味品、干货接到订单后48小时内送至各校区食堂。</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5</w:t>
      </w:r>
      <w:r>
        <w:rPr>
          <w:rFonts w:hint="eastAsia" w:ascii="宋体" w:hAnsi="宋体" w:cs="宋体"/>
          <w:kern w:val="0"/>
          <w:sz w:val="24"/>
        </w:rPr>
        <w:t>.凡本次中标的商家在签订合同前按规定缴纳合同履约保证金2万元/标段；合同期满，无任何违约、纠纷等，则无息退还。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6</w:t>
      </w:r>
      <w:r>
        <w:rPr>
          <w:rFonts w:hint="eastAsia" w:ascii="宋体" w:hAnsi="宋体" w:cs="宋体"/>
          <w:kern w:val="0"/>
          <w:sz w:val="24"/>
        </w:rPr>
        <w:t>.投标品种应与经营范围相符。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7</w:t>
      </w:r>
      <w:r>
        <w:rPr>
          <w:rFonts w:hint="eastAsia" w:ascii="宋体" w:hAnsi="宋体" w:cs="宋体"/>
          <w:kern w:val="0"/>
          <w:sz w:val="24"/>
        </w:rPr>
        <w:t>.投标人必须保证满足“投标主体、合同主体、送货主体与货款结算主体”四个一致的要求，不得违背。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8</w:t>
      </w:r>
      <w:r>
        <w:rPr>
          <w:rFonts w:hint="eastAsia" w:ascii="宋体" w:hAnsi="宋体" w:cs="宋体"/>
          <w:kern w:val="0"/>
          <w:sz w:val="24"/>
        </w:rPr>
        <w:t>.所供货物经饮服中心各校区食堂验收、使用确认无质量问题后，按照供货周期（每月的26日至次月的25日为一个供货周期）开具正式发票，经过学校报销手续后，按照合同约定方式结算。</w:t>
      </w:r>
    </w:p>
    <w:p>
      <w:pPr>
        <w:widowControl/>
        <w:spacing w:line="440" w:lineRule="exact"/>
        <w:ind w:firstLine="480" w:firstLineChars="200"/>
        <w:jc w:val="left"/>
        <w:rPr>
          <w:b/>
          <w:sz w:val="24"/>
        </w:rPr>
      </w:pPr>
      <w:r>
        <w:rPr>
          <w:rFonts w:hint="eastAsia" w:ascii="宋体" w:hAnsi="宋体" w:cs="宋体"/>
          <w:kern w:val="0"/>
          <w:sz w:val="24"/>
          <w:lang w:val="en-US" w:eastAsia="zh-CN"/>
        </w:rPr>
        <w:t>9</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lang w:val="en-US" w:eastAsia="zh-CN"/>
        </w:rPr>
        <w:t>3</w:t>
      </w:r>
      <w:r>
        <w:rPr>
          <w:rFonts w:hint="eastAsia" w:ascii="宋体" w:hAnsi="宋体"/>
          <w:sz w:val="24"/>
        </w:rPr>
        <w:t>年</w:t>
      </w:r>
      <w:r>
        <w:rPr>
          <w:rFonts w:hint="eastAsia" w:ascii="宋体" w:hAnsi="宋体"/>
          <w:sz w:val="24"/>
          <w:lang w:val="en-US" w:eastAsia="zh-CN"/>
        </w:rPr>
        <w:t>2</w:t>
      </w:r>
      <w:r>
        <w:rPr>
          <w:rFonts w:hint="eastAsia" w:ascii="宋体" w:hAnsi="宋体"/>
          <w:sz w:val="24"/>
        </w:rPr>
        <w:t>月26日起至2023年</w:t>
      </w:r>
      <w:r>
        <w:rPr>
          <w:rFonts w:hint="eastAsia" w:ascii="宋体" w:hAnsi="宋体"/>
          <w:sz w:val="24"/>
          <w:lang w:val="en-US" w:eastAsia="zh-CN"/>
        </w:rPr>
        <w:t>8</w:t>
      </w:r>
      <w:r>
        <w:rPr>
          <w:rFonts w:hint="eastAsia" w:ascii="宋体" w:hAnsi="宋体"/>
          <w:sz w:val="24"/>
        </w:rPr>
        <w:t>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w:t>
      </w:r>
      <w:r>
        <w:rPr>
          <w:rFonts w:hint="eastAsia" w:ascii="宋体" w:hAnsi="宋体"/>
          <w:color w:val="000000" w:themeColor="text1"/>
          <w:spacing w:val="4"/>
          <w:sz w:val="24"/>
          <w:lang w:eastAsia="zh-CN"/>
          <w14:textFill>
            <w14:solidFill>
              <w14:schemeClr w14:val="tx1"/>
            </w14:solidFill>
          </w14:textFill>
        </w:rPr>
        <w:t>承诺</w:t>
      </w:r>
      <w:r>
        <w:rPr>
          <w:rFonts w:hint="eastAsia" w:ascii="宋体" w:hAnsi="宋体"/>
          <w:color w:val="000000" w:themeColor="text1"/>
          <w:spacing w:val="4"/>
          <w:sz w:val="24"/>
          <w14:textFill>
            <w14:solidFill>
              <w14:schemeClr w14:val="tx1"/>
            </w14:solidFill>
          </w14:textFill>
        </w:rPr>
        <w:t>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w:t>
      </w:r>
      <w:r>
        <w:rPr>
          <w:rFonts w:hint="eastAsia"/>
          <w:b w:val="0"/>
          <w:color w:val="000000" w:themeColor="text1"/>
          <w:sz w:val="21"/>
          <w:szCs w:val="21"/>
          <w:lang w:eastAsia="zh-CN"/>
          <w14:textFill>
            <w14:solidFill>
              <w14:schemeClr w14:val="tx1"/>
            </w14:solidFill>
          </w14:textFill>
        </w:rPr>
        <w:t>承诺</w:t>
      </w:r>
      <w:r>
        <w:rPr>
          <w:rFonts w:hint="eastAsia"/>
          <w:b w:val="0"/>
          <w:color w:val="000000" w:themeColor="text1"/>
          <w:sz w:val="21"/>
          <w:szCs w:val="21"/>
          <w14:textFill>
            <w14:solidFill>
              <w14:schemeClr w14:val="tx1"/>
            </w14:solidFill>
          </w14:textFill>
        </w:rPr>
        <w:t>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rPr>
          <w:szCs w:val="21"/>
        </w:rPr>
      </w:pPr>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bookmarkStart w:id="18" w:name="_Toc73516696"/>
      <w:r>
        <w:rPr>
          <w:rFonts w:hint="eastAsia"/>
          <w:szCs w:val="21"/>
        </w:rPr>
        <w:t>豆制品报价单</w:t>
      </w:r>
    </w:p>
    <w:p>
      <w:pPr>
        <w:jc w:val="center"/>
      </w:pPr>
      <w:r>
        <w:rPr>
          <w:rFonts w:hint="eastAsia"/>
          <w:b/>
          <w:sz w:val="36"/>
          <w:szCs w:val="36"/>
        </w:rPr>
        <w:t>豆制品报价单</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1824"/>
        <w:gridCol w:w="158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596" w:type="dxa"/>
            <w:vAlign w:val="center"/>
          </w:tcPr>
          <w:p>
            <w:pPr>
              <w:tabs>
                <w:tab w:val="left" w:pos="2280"/>
              </w:tabs>
              <w:spacing w:line="400" w:lineRule="exact"/>
              <w:jc w:val="center"/>
              <w:rPr>
                <w:sz w:val="30"/>
                <w:szCs w:val="30"/>
              </w:rPr>
            </w:pPr>
            <w:r>
              <w:rPr>
                <w:rFonts w:hint="eastAsia"/>
                <w:sz w:val="30"/>
                <w:szCs w:val="30"/>
              </w:rPr>
              <w:t>品名</w:t>
            </w:r>
          </w:p>
        </w:tc>
        <w:tc>
          <w:tcPr>
            <w:tcW w:w="1824" w:type="dxa"/>
            <w:vAlign w:val="center"/>
          </w:tcPr>
          <w:p>
            <w:pPr>
              <w:tabs>
                <w:tab w:val="left" w:pos="2280"/>
              </w:tabs>
              <w:spacing w:line="400" w:lineRule="exact"/>
              <w:jc w:val="center"/>
              <w:rPr>
                <w:sz w:val="30"/>
                <w:szCs w:val="30"/>
              </w:rPr>
            </w:pPr>
            <w:r>
              <w:rPr>
                <w:rFonts w:hint="eastAsia"/>
                <w:sz w:val="30"/>
                <w:szCs w:val="30"/>
              </w:rPr>
              <w:t>基本要求</w:t>
            </w:r>
          </w:p>
        </w:tc>
        <w:tc>
          <w:tcPr>
            <w:tcW w:w="1584" w:type="dxa"/>
            <w:vAlign w:val="center"/>
          </w:tcPr>
          <w:p>
            <w:pPr>
              <w:tabs>
                <w:tab w:val="left" w:pos="2280"/>
              </w:tabs>
              <w:spacing w:line="400" w:lineRule="exact"/>
              <w:jc w:val="center"/>
              <w:rPr>
                <w:sz w:val="30"/>
                <w:szCs w:val="30"/>
              </w:rPr>
            </w:pPr>
            <w:r>
              <w:rPr>
                <w:rFonts w:hint="eastAsia"/>
                <w:sz w:val="30"/>
                <w:szCs w:val="30"/>
              </w:rPr>
              <w:t>单位</w:t>
            </w:r>
          </w:p>
        </w:tc>
        <w:tc>
          <w:tcPr>
            <w:tcW w:w="1705" w:type="dxa"/>
            <w:vAlign w:val="center"/>
          </w:tcPr>
          <w:p>
            <w:pPr>
              <w:tabs>
                <w:tab w:val="left" w:pos="2280"/>
              </w:tabs>
              <w:spacing w:line="400" w:lineRule="exact"/>
              <w:jc w:val="center"/>
              <w:rPr>
                <w:sz w:val="30"/>
                <w:szCs w:val="30"/>
              </w:rPr>
            </w:pPr>
            <w:r>
              <w:rPr>
                <w:rFonts w:hint="eastAsia"/>
                <w:sz w:val="30"/>
                <w:szCs w:val="30"/>
              </w:rPr>
              <w:t>报价</w:t>
            </w:r>
          </w:p>
          <w:p>
            <w:pPr>
              <w:pStyle w:val="2"/>
              <w:spacing w:before="0" w:after="0" w:line="400" w:lineRule="exact"/>
              <w:ind w:left="0"/>
              <w:jc w:val="center"/>
              <w:rPr>
                <w:rFonts w:hint="eastAsia"/>
              </w:rPr>
            </w:pPr>
            <w:r>
              <w:rPr>
                <w:rFonts w:hint="eastAsia"/>
                <w:sz w:val="24"/>
              </w:rPr>
              <w:t>（元</w:t>
            </w:r>
            <w:r>
              <w:rPr>
                <w:sz w:val="24"/>
              </w:rPr>
              <w:t>/</w:t>
            </w:r>
            <w:r>
              <w:rPr>
                <w:rFonts w:hint="eastAsia"/>
                <w:sz w:val="24"/>
              </w:rPr>
              <w:t>斤）</w:t>
            </w:r>
          </w:p>
        </w:tc>
        <w:tc>
          <w:tcPr>
            <w:tcW w:w="1705" w:type="dxa"/>
            <w:vAlign w:val="center"/>
          </w:tcPr>
          <w:p>
            <w:pPr>
              <w:tabs>
                <w:tab w:val="left" w:pos="2280"/>
              </w:tabs>
              <w:spacing w:line="400" w:lineRule="exact"/>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tabs>
                <w:tab w:val="left" w:pos="2280"/>
              </w:tabs>
              <w:jc w:val="center"/>
              <w:rPr>
                <w:rFonts w:ascii="宋体" w:hAnsi="宋体" w:cs="宋体"/>
                <w:szCs w:val="21"/>
              </w:rPr>
            </w:pPr>
            <w:r>
              <w:rPr>
                <w:rFonts w:hint="eastAsia" w:ascii="宋体" w:hAnsi="宋体" w:cs="宋体"/>
                <w:szCs w:val="21"/>
              </w:rPr>
              <w:t>豆腐</w:t>
            </w:r>
          </w:p>
        </w:tc>
        <w:tc>
          <w:tcPr>
            <w:tcW w:w="1824" w:type="dxa"/>
            <w:vMerge w:val="restart"/>
          </w:tcPr>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p>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符合GB2712-2014 食品安全国家标准；</w:t>
            </w:r>
          </w:p>
          <w:p>
            <w:pPr>
              <w:tabs>
                <w:tab w:val="left" w:pos="2280"/>
              </w:tabs>
              <w:jc w:val="center"/>
              <w:rPr>
                <w:rFonts w:ascii="宋体" w:hAnsi="宋体" w:cs="宋体"/>
                <w:szCs w:val="21"/>
              </w:rPr>
            </w:pPr>
            <w:r>
              <w:rPr>
                <w:rFonts w:hint="eastAsia" w:ascii="宋体" w:hAnsi="宋体" w:cs="宋体"/>
                <w:szCs w:val="21"/>
                <w:shd w:val="clear" w:color="auto" w:fill="FFFFFF"/>
              </w:rPr>
              <w:t>块形整齐，厚薄、大小均匀。</w:t>
            </w: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tabs>
                <w:tab w:val="left" w:pos="2280"/>
              </w:tabs>
              <w:jc w:val="center"/>
              <w:rPr>
                <w:rFonts w:ascii="宋体" w:hAnsi="宋体" w:cs="宋体"/>
                <w:szCs w:val="21"/>
              </w:rPr>
            </w:pPr>
            <w:r>
              <w:rPr>
                <w:rFonts w:hint="eastAsia" w:ascii="宋体" w:hAnsi="宋体" w:cs="宋体"/>
                <w:szCs w:val="21"/>
              </w:rPr>
              <w:t>茶干</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tabs>
                <w:tab w:val="left" w:pos="2280"/>
              </w:tabs>
              <w:jc w:val="center"/>
              <w:rPr>
                <w:rFonts w:ascii="宋体" w:hAnsi="宋体" w:cs="宋体"/>
                <w:szCs w:val="21"/>
              </w:rPr>
            </w:pPr>
            <w:r>
              <w:rPr>
                <w:rFonts w:hint="eastAsia" w:ascii="宋体" w:hAnsi="宋体" w:cs="宋体"/>
                <w:szCs w:val="21"/>
              </w:rPr>
              <w:t>生素鸡</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tabs>
                <w:tab w:val="left" w:pos="2280"/>
              </w:tabs>
              <w:jc w:val="center"/>
              <w:rPr>
                <w:rFonts w:ascii="宋体" w:hAnsi="宋体" w:cs="宋体"/>
                <w:szCs w:val="21"/>
              </w:rPr>
            </w:pPr>
            <w:r>
              <w:rPr>
                <w:rFonts w:hint="eastAsia" w:ascii="宋体" w:hAnsi="宋体" w:cs="宋体"/>
                <w:szCs w:val="21"/>
              </w:rPr>
              <w:t>干丝</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tabs>
                <w:tab w:val="left" w:pos="2280"/>
              </w:tabs>
              <w:jc w:val="center"/>
              <w:rPr>
                <w:rFonts w:ascii="宋体" w:hAnsi="宋体" w:cs="宋体"/>
                <w:szCs w:val="21"/>
              </w:rPr>
            </w:pPr>
            <w:r>
              <w:rPr>
                <w:rFonts w:hint="eastAsia" w:ascii="宋体" w:hAnsi="宋体" w:cs="宋体"/>
                <w:szCs w:val="21"/>
              </w:rPr>
              <w:t>小油泡</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szCs w:val="21"/>
              </w:rPr>
            </w:pPr>
            <w:r>
              <w:rPr>
                <w:rFonts w:hint="eastAsia" w:ascii="宋体" w:hAnsi="宋体" w:cs="宋体"/>
                <w:kern w:val="0"/>
                <w:szCs w:val="21"/>
              </w:rPr>
              <w:t>臭豆腐</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hint="eastAsia" w:ascii="宋体" w:hAnsi="宋体" w:eastAsia="宋体" w:cs="宋体"/>
                <w:szCs w:val="21"/>
                <w:lang w:eastAsia="zh-CN"/>
              </w:rPr>
            </w:pPr>
            <w:r>
              <w:rPr>
                <w:rFonts w:hint="eastAsia" w:ascii="宋体" w:hAnsi="宋体" w:cs="宋体"/>
                <w:kern w:val="0"/>
                <w:szCs w:val="21"/>
                <w:lang w:eastAsia="zh-CN"/>
              </w:rPr>
              <w:t>油三角</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szCs w:val="21"/>
              </w:rPr>
            </w:pPr>
            <w:r>
              <w:rPr>
                <w:rFonts w:hint="eastAsia" w:ascii="宋体" w:hAnsi="宋体" w:cs="宋体"/>
                <w:kern w:val="0"/>
                <w:szCs w:val="21"/>
              </w:rPr>
              <w:t>面筋</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粉皮</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百叶结</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老豆腐</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百叶丝</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油干</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兰花干</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烤麸</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内酯豆腐</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kern w:val="0"/>
                <w:szCs w:val="21"/>
              </w:rPr>
            </w:pPr>
            <w:r>
              <w:rPr>
                <w:rFonts w:hint="eastAsia" w:ascii="宋体" w:hAnsi="宋体" w:cs="宋体"/>
                <w:kern w:val="0"/>
                <w:szCs w:val="21"/>
              </w:rPr>
              <w:t>厚百叶</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596" w:type="dxa"/>
            <w:vAlign w:val="center"/>
          </w:tcPr>
          <w:p>
            <w:pPr>
              <w:widowControl/>
              <w:spacing w:before="75" w:after="75" w:line="270" w:lineRule="atLeast"/>
              <w:ind w:left="75" w:right="75"/>
              <w:jc w:val="center"/>
              <w:rPr>
                <w:rFonts w:ascii="宋体" w:hAnsi="宋体" w:cs="宋体"/>
                <w:szCs w:val="21"/>
              </w:rPr>
            </w:pPr>
            <w:r>
              <w:rPr>
                <w:rFonts w:hint="eastAsia" w:ascii="宋体" w:hAnsi="宋体" w:cs="宋体"/>
                <w:kern w:val="0"/>
                <w:szCs w:val="21"/>
              </w:rPr>
              <w:t>薄百叶</w:t>
            </w:r>
          </w:p>
        </w:tc>
        <w:tc>
          <w:tcPr>
            <w:tcW w:w="1824" w:type="dxa"/>
            <w:vMerge w:val="continue"/>
          </w:tcPr>
          <w:p>
            <w:pPr>
              <w:tabs>
                <w:tab w:val="left" w:pos="2280"/>
              </w:tabs>
              <w:jc w:val="center"/>
              <w:rPr>
                <w:rFonts w:ascii="宋体" w:hAnsi="宋体" w:cs="宋体"/>
                <w:szCs w:val="21"/>
              </w:rPr>
            </w:pPr>
          </w:p>
        </w:tc>
        <w:tc>
          <w:tcPr>
            <w:tcW w:w="1584" w:type="dxa"/>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斤</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5004" w:type="dxa"/>
            <w:gridSpan w:val="3"/>
            <w:vAlign w:val="center"/>
          </w:tcPr>
          <w:p>
            <w:pPr>
              <w:tabs>
                <w:tab w:val="left" w:pos="2280"/>
              </w:tabs>
              <w:jc w:val="center"/>
              <w:rPr>
                <w:rFonts w:ascii="宋体" w:hAnsi="宋体" w:cs="宋体"/>
                <w:szCs w:val="21"/>
                <w:shd w:val="clear" w:color="auto" w:fill="FFFFFF"/>
              </w:rPr>
            </w:pPr>
            <w:r>
              <w:rPr>
                <w:rFonts w:hint="eastAsia" w:ascii="宋体" w:hAnsi="宋体" w:cs="宋体"/>
                <w:szCs w:val="21"/>
                <w:shd w:val="clear" w:color="auto" w:fill="FFFFFF"/>
              </w:rPr>
              <w:t>合        计</w:t>
            </w:r>
          </w:p>
        </w:tc>
        <w:tc>
          <w:tcPr>
            <w:tcW w:w="1705" w:type="dxa"/>
          </w:tcPr>
          <w:p>
            <w:pPr>
              <w:tabs>
                <w:tab w:val="left" w:pos="2280"/>
              </w:tabs>
              <w:jc w:val="center"/>
              <w:rPr>
                <w:rFonts w:ascii="宋体" w:hAnsi="宋体" w:cs="宋体"/>
                <w:szCs w:val="21"/>
              </w:rPr>
            </w:pPr>
          </w:p>
        </w:tc>
        <w:tc>
          <w:tcPr>
            <w:tcW w:w="1705" w:type="dxa"/>
          </w:tcPr>
          <w:p>
            <w:pPr>
              <w:tabs>
                <w:tab w:val="left" w:pos="2280"/>
              </w:tabs>
              <w:jc w:val="center"/>
              <w:rPr>
                <w:rFonts w:ascii="宋体" w:hAnsi="宋体" w:cs="宋体"/>
                <w:szCs w:val="21"/>
              </w:rPr>
            </w:pPr>
          </w:p>
        </w:tc>
      </w:tr>
    </w:tbl>
    <w:p>
      <w:pPr>
        <w:widowControl/>
        <w:spacing w:line="360" w:lineRule="atLeast"/>
        <w:jc w:val="left"/>
        <w:rPr>
          <w:rFonts w:ascii="宋体" w:hAnsi="宋体" w:cs="宋体"/>
          <w:kern w:val="0"/>
          <w:szCs w:val="21"/>
        </w:rPr>
      </w:pPr>
    </w:p>
    <w:p>
      <w:pPr>
        <w:widowControl/>
        <w:spacing w:line="360" w:lineRule="atLeast"/>
        <w:jc w:val="left"/>
        <w:rPr>
          <w:rFonts w:ascii="宋体" w:hAnsi="宋体" w:cs="宋体"/>
          <w:kern w:val="0"/>
          <w:sz w:val="24"/>
        </w:rPr>
      </w:pPr>
      <w:r>
        <w:rPr>
          <w:rFonts w:ascii="宋体" w:hAnsi="宋体" w:cs="宋体"/>
          <w:kern w:val="0"/>
          <w:sz w:val="24"/>
        </w:rPr>
        <w:t>备注： 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84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84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本次投标中标价格精确到分（0.01元）</w:t>
      </w:r>
      <w:r>
        <w:rPr>
          <w:rFonts w:hint="eastAsia" w:ascii="宋体" w:hAnsi="宋体" w:cs="宋体"/>
          <w:kern w:val="0"/>
          <w:sz w:val="24"/>
        </w:rPr>
        <w:t>。</w:t>
      </w:r>
    </w:p>
    <w:p>
      <w:pPr>
        <w:widowControl/>
        <w:spacing w:line="360" w:lineRule="atLeast"/>
        <w:ind w:firstLine="84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ind w:firstLine="840"/>
        <w:jc w:val="left"/>
        <w:rPr>
          <w:rFonts w:ascii="宋体" w:hAnsi="宋体" w:cs="宋体"/>
          <w:kern w:val="0"/>
          <w:sz w:val="24"/>
        </w:rPr>
      </w:pPr>
    </w:p>
    <w:p>
      <w:pPr>
        <w:widowControl/>
        <w:spacing w:line="300" w:lineRule="exact"/>
        <w:ind w:firstLine="4320" w:firstLineChars="1800"/>
        <w:jc w:val="left"/>
        <w:rPr>
          <w:rFonts w:ascii="宋体" w:hAnsi="宋体" w:cs="宋体"/>
          <w:kern w:val="0"/>
          <w:sz w:val="24"/>
        </w:rPr>
      </w:pPr>
      <w:r>
        <w:rPr>
          <w:rFonts w:ascii="宋体" w:hAnsi="宋体" w:cs="宋体"/>
          <w:kern w:val="0"/>
          <w:sz w:val="24"/>
        </w:rPr>
        <w:t>投标单位（盖章）：</w:t>
      </w:r>
    </w:p>
    <w:p>
      <w:pPr>
        <w:widowControl/>
        <w:spacing w:line="300" w:lineRule="exact"/>
        <w:ind w:firstLine="480"/>
        <w:jc w:val="left"/>
        <w:rPr>
          <w:rFonts w:ascii="宋体" w:hAnsi="宋体" w:cs="宋体"/>
          <w:kern w:val="0"/>
          <w:sz w:val="24"/>
        </w:rPr>
      </w:pPr>
      <w:r>
        <w:rPr>
          <w:rFonts w:ascii="宋体" w:hAnsi="宋体" w:cs="宋体"/>
          <w:kern w:val="0"/>
          <w:sz w:val="24"/>
        </w:rPr>
        <w:t> </w:t>
      </w:r>
    </w:p>
    <w:p>
      <w:pPr>
        <w:widowControl/>
        <w:spacing w:line="300" w:lineRule="exact"/>
        <w:ind w:firstLine="4320" w:firstLineChars="1800"/>
        <w:jc w:val="left"/>
        <w:rPr>
          <w:rFonts w:ascii="宋体" w:hAnsi="宋体" w:cs="宋体"/>
          <w:kern w:val="0"/>
          <w:sz w:val="24"/>
        </w:rPr>
      </w:pPr>
      <w:r>
        <w:rPr>
          <w:rFonts w:ascii="宋体" w:hAnsi="宋体" w:cs="宋体"/>
          <w:kern w:val="0"/>
          <w:sz w:val="24"/>
        </w:rPr>
        <w:t>法定代表人（签章）：</w:t>
      </w:r>
    </w:p>
    <w:p>
      <w:pPr>
        <w:widowControl/>
        <w:spacing w:line="300" w:lineRule="exact"/>
        <w:ind w:firstLine="480"/>
        <w:jc w:val="left"/>
        <w:rPr>
          <w:rFonts w:ascii="宋体" w:hAnsi="宋体" w:cs="宋体"/>
          <w:kern w:val="0"/>
          <w:sz w:val="24"/>
        </w:rPr>
      </w:pPr>
    </w:p>
    <w:p>
      <w:pPr>
        <w:widowControl/>
        <w:spacing w:line="300" w:lineRule="exact"/>
        <w:ind w:firstLine="4800" w:firstLineChars="2000"/>
        <w:jc w:val="left"/>
      </w:pP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 </w:t>
      </w:r>
      <w:r>
        <w:rPr>
          <w:rFonts w:hint="eastAsia" w:ascii="宋体" w:hAnsi="宋体" w:cs="宋体"/>
          <w:kern w:val="0"/>
          <w:sz w:val="24"/>
        </w:rPr>
        <w:t xml:space="preserve"> </w:t>
      </w:r>
      <w:r>
        <w:rPr>
          <w:rFonts w:ascii="宋体" w:hAnsi="宋体" w:cs="宋体"/>
          <w:kern w:val="0"/>
          <w:sz w:val="24"/>
        </w:rPr>
        <w:t>日</w:t>
      </w:r>
    </w:p>
    <w:bookmarkEnd w:id="18"/>
    <w:p>
      <w:pPr>
        <w:pStyle w:val="4"/>
        <w:rPr>
          <w:b w:val="0"/>
          <w:color w:val="000000" w:themeColor="text1"/>
          <w:sz w:val="21"/>
          <w:szCs w:val="21"/>
          <w14:textFill>
            <w14:solidFill>
              <w14:schemeClr w14:val="tx1"/>
            </w14:solidFill>
          </w14:textFill>
        </w:rPr>
      </w:pPr>
      <w:bookmarkStart w:id="19" w:name="_Toc73516699"/>
      <w:bookmarkStart w:id="20" w:name="_Toc24632184"/>
      <w:r>
        <w:rPr>
          <w:rFonts w:hint="eastAsia"/>
          <w:b w:val="0"/>
          <w:color w:val="000000" w:themeColor="text1"/>
          <w:sz w:val="21"/>
          <w:szCs w:val="21"/>
          <w14:textFill>
            <w14:solidFill>
              <w14:schemeClr w14:val="tx1"/>
            </w14:solidFill>
          </w14:textFill>
        </w:rPr>
        <w:t>附件3：法定代表人资格证明</w:t>
      </w:r>
      <w:bookmarkEnd w:id="19"/>
      <w:bookmarkEnd w:id="20"/>
    </w:p>
    <w:p>
      <w:pPr>
        <w:snapToGrid w:val="0"/>
        <w:spacing w:line="360" w:lineRule="auto"/>
        <w:ind w:right="-351" w:rightChars="-167"/>
        <w:jc w:val="center"/>
        <w:rPr>
          <w:rFonts w:ascii="宋体"/>
          <w:b/>
          <w:color w:val="000000" w:themeColor="text1"/>
          <w:sz w:val="36"/>
          <w:szCs w:val="36"/>
          <w14:textFill>
            <w14:solidFill>
              <w14:schemeClr w14:val="tx1"/>
            </w14:solidFill>
          </w14:textFill>
        </w:rPr>
      </w:pPr>
      <w:bookmarkStart w:id="21" w:name="_Toc73516700"/>
      <w:bookmarkStart w:id="22" w:name="_Toc24632185"/>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p>
    <w:p>
      <w:pPr>
        <w:spacing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0.15pt;margin-top:0.65pt;height:159pt;width:228.8pt;z-index:251664384;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vryry2AAAAAkBAAAPAAAAAAAAAAEA&#10;IAAAACIAAABkcnMvZG93bnJldi54bWxQSwECFAAUAAAACACHTuJAyz+w2U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15pt;margin-top:0.65pt;height:157.9pt;width:228.8pt;z-index:251663360;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NDyyf2AAAAAgBAAAPAAAAAAAAAAEA&#10;IAAAACIAAABkcnMvZG93bnJldi54bWxQSwECFAAUAAAACACHTuJASlWJc0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tabs>
          <w:tab w:val="left" w:pos="1390"/>
        </w:tabs>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附件4：法定代表人授权书</w:t>
      </w:r>
      <w:bookmarkEnd w:id="21"/>
      <w:bookmarkEnd w:id="22"/>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3" w:name="_Toc73516701"/>
      <w:r>
        <w:rPr>
          <w:rFonts w:hint="eastAsia"/>
          <w:b w:val="0"/>
          <w:color w:val="000000" w:themeColor="text1"/>
          <w:sz w:val="21"/>
          <w:szCs w:val="21"/>
          <w14:textFill>
            <w14:solidFill>
              <w14:schemeClr w14:val="tx1"/>
            </w14:solidFill>
          </w14:textFill>
        </w:rPr>
        <w:t>附件5：无重大违法记录声明</w:t>
      </w:r>
      <w:bookmarkEnd w:id="23"/>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4" w:name="_Toc50645819"/>
      <w:bookmarkStart w:id="25" w:name="_Toc52798262"/>
      <w:bookmarkStart w:id="26" w:name="_Toc73516702"/>
      <w:bookmarkStart w:id="27" w:name="_Toc51598429"/>
      <w:bookmarkStart w:id="28" w:name="_Toc53153324"/>
      <w:bookmarkStart w:id="29" w:name="_Toc50642505"/>
      <w:bookmarkStart w:id="30" w:name="_Toc49847306"/>
      <w:r>
        <w:rPr>
          <w:rFonts w:hint="eastAsia"/>
          <w:b w:val="0"/>
          <w:color w:val="000000" w:themeColor="text1"/>
          <w:sz w:val="21"/>
          <w:szCs w:val="21"/>
          <w14:textFill>
            <w14:solidFill>
              <w14:schemeClr w14:val="tx1"/>
            </w14:solidFill>
          </w14:textFill>
        </w:rPr>
        <w:t>附件6：诚信承诺书</w:t>
      </w:r>
      <w:bookmarkEnd w:id="24"/>
      <w:bookmarkEnd w:id="25"/>
      <w:bookmarkEnd w:id="26"/>
      <w:bookmarkEnd w:id="27"/>
      <w:bookmarkEnd w:id="28"/>
      <w:bookmarkEnd w:id="29"/>
      <w:bookmarkEnd w:id="30"/>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5900"/>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04F6"/>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3E7"/>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03B1"/>
    <w:rsid w:val="00532285"/>
    <w:rsid w:val="00532712"/>
    <w:rsid w:val="00532C73"/>
    <w:rsid w:val="00534DA3"/>
    <w:rsid w:val="00535274"/>
    <w:rsid w:val="005359C9"/>
    <w:rsid w:val="00537EBC"/>
    <w:rsid w:val="00540564"/>
    <w:rsid w:val="00542383"/>
    <w:rsid w:val="0054323E"/>
    <w:rsid w:val="0055141A"/>
    <w:rsid w:val="00552C6E"/>
    <w:rsid w:val="005560F8"/>
    <w:rsid w:val="00557C8F"/>
    <w:rsid w:val="00562202"/>
    <w:rsid w:val="00563159"/>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234"/>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377D2"/>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0C2B"/>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4C02"/>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730"/>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E75FD"/>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6FED"/>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1161"/>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73A"/>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69"/>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1C4"/>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34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3EC4"/>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76"/>
    <w:rsid w:val="00F839B1"/>
    <w:rsid w:val="00F84BAB"/>
    <w:rsid w:val="00F8540C"/>
    <w:rsid w:val="00F85566"/>
    <w:rsid w:val="00F856E7"/>
    <w:rsid w:val="00F857A5"/>
    <w:rsid w:val="00F85DA4"/>
    <w:rsid w:val="00F86140"/>
    <w:rsid w:val="00F87180"/>
    <w:rsid w:val="00F906DD"/>
    <w:rsid w:val="00F93789"/>
    <w:rsid w:val="00F944C2"/>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7A5D8D"/>
    <w:rsid w:val="057F1595"/>
    <w:rsid w:val="05872D64"/>
    <w:rsid w:val="065823F0"/>
    <w:rsid w:val="07487BB5"/>
    <w:rsid w:val="095D58FD"/>
    <w:rsid w:val="09622616"/>
    <w:rsid w:val="09910E44"/>
    <w:rsid w:val="0A026BD8"/>
    <w:rsid w:val="0A2A36E7"/>
    <w:rsid w:val="0E252E98"/>
    <w:rsid w:val="0EA16A38"/>
    <w:rsid w:val="0EF929D9"/>
    <w:rsid w:val="0EFA0BCA"/>
    <w:rsid w:val="0F111E5D"/>
    <w:rsid w:val="0F202E96"/>
    <w:rsid w:val="110D6392"/>
    <w:rsid w:val="126E6EDF"/>
    <w:rsid w:val="12746007"/>
    <w:rsid w:val="15AD47C5"/>
    <w:rsid w:val="1A7A033C"/>
    <w:rsid w:val="1B8A0A6B"/>
    <w:rsid w:val="1CB9293D"/>
    <w:rsid w:val="1CE017E9"/>
    <w:rsid w:val="1D4F473B"/>
    <w:rsid w:val="1D720134"/>
    <w:rsid w:val="1DA25220"/>
    <w:rsid w:val="1DD20CE6"/>
    <w:rsid w:val="205D1EAD"/>
    <w:rsid w:val="20E35EB0"/>
    <w:rsid w:val="255676EF"/>
    <w:rsid w:val="268E706A"/>
    <w:rsid w:val="26B55F24"/>
    <w:rsid w:val="277E259E"/>
    <w:rsid w:val="299F38FC"/>
    <w:rsid w:val="29AA0D95"/>
    <w:rsid w:val="29B54054"/>
    <w:rsid w:val="2B882648"/>
    <w:rsid w:val="2D0D0136"/>
    <w:rsid w:val="2D621909"/>
    <w:rsid w:val="2EE261A8"/>
    <w:rsid w:val="2EE62F88"/>
    <w:rsid w:val="2EEA5A4A"/>
    <w:rsid w:val="31086F3E"/>
    <w:rsid w:val="31451D82"/>
    <w:rsid w:val="31820BD9"/>
    <w:rsid w:val="322A4CAB"/>
    <w:rsid w:val="324101E2"/>
    <w:rsid w:val="3465038D"/>
    <w:rsid w:val="3491629A"/>
    <w:rsid w:val="355A2586"/>
    <w:rsid w:val="39302086"/>
    <w:rsid w:val="39D272EA"/>
    <w:rsid w:val="3A7C5E4C"/>
    <w:rsid w:val="3B767F00"/>
    <w:rsid w:val="3BB04B88"/>
    <w:rsid w:val="3BCF12B5"/>
    <w:rsid w:val="3C7137CF"/>
    <w:rsid w:val="3EEA1BF7"/>
    <w:rsid w:val="3F0071D7"/>
    <w:rsid w:val="4278205E"/>
    <w:rsid w:val="44814510"/>
    <w:rsid w:val="4517057D"/>
    <w:rsid w:val="453A2DD0"/>
    <w:rsid w:val="45566478"/>
    <w:rsid w:val="474140DE"/>
    <w:rsid w:val="486A27A6"/>
    <w:rsid w:val="492D6B95"/>
    <w:rsid w:val="49C26560"/>
    <w:rsid w:val="4AD917DF"/>
    <w:rsid w:val="4C653F38"/>
    <w:rsid w:val="4DE63590"/>
    <w:rsid w:val="51CE3B85"/>
    <w:rsid w:val="54386EA6"/>
    <w:rsid w:val="54446C56"/>
    <w:rsid w:val="54474CB9"/>
    <w:rsid w:val="54E7132C"/>
    <w:rsid w:val="55DC4864"/>
    <w:rsid w:val="562D07D0"/>
    <w:rsid w:val="57DA7978"/>
    <w:rsid w:val="58E9797C"/>
    <w:rsid w:val="59F7427D"/>
    <w:rsid w:val="59FF605A"/>
    <w:rsid w:val="5A6D395A"/>
    <w:rsid w:val="5CBB218F"/>
    <w:rsid w:val="5D9422F4"/>
    <w:rsid w:val="5DF625FF"/>
    <w:rsid w:val="5ED90476"/>
    <w:rsid w:val="5F435614"/>
    <w:rsid w:val="5F551185"/>
    <w:rsid w:val="5F721C62"/>
    <w:rsid w:val="61A71DB7"/>
    <w:rsid w:val="637416D7"/>
    <w:rsid w:val="64053365"/>
    <w:rsid w:val="64BB1B06"/>
    <w:rsid w:val="65016EC6"/>
    <w:rsid w:val="66377965"/>
    <w:rsid w:val="67C60E14"/>
    <w:rsid w:val="68C3600F"/>
    <w:rsid w:val="68CB2588"/>
    <w:rsid w:val="6A2633D5"/>
    <w:rsid w:val="6AEF170B"/>
    <w:rsid w:val="6B92489C"/>
    <w:rsid w:val="6BAA593E"/>
    <w:rsid w:val="6BC30EC2"/>
    <w:rsid w:val="6BCE26DE"/>
    <w:rsid w:val="6BD47E0B"/>
    <w:rsid w:val="6D3D27A5"/>
    <w:rsid w:val="6D646F97"/>
    <w:rsid w:val="6E3D1ADB"/>
    <w:rsid w:val="6F9F1D2F"/>
    <w:rsid w:val="702C1E9C"/>
    <w:rsid w:val="70BB4DC3"/>
    <w:rsid w:val="717C3606"/>
    <w:rsid w:val="735379F9"/>
    <w:rsid w:val="7375655F"/>
    <w:rsid w:val="751B1357"/>
    <w:rsid w:val="76261160"/>
    <w:rsid w:val="772464D5"/>
    <w:rsid w:val="78D52782"/>
    <w:rsid w:val="79247842"/>
    <w:rsid w:val="7A205E5C"/>
    <w:rsid w:val="7AA25287"/>
    <w:rsid w:val="7C8B1B3D"/>
    <w:rsid w:val="7CDF37CB"/>
    <w:rsid w:val="7CF96AFE"/>
    <w:rsid w:val="7DB06C08"/>
    <w:rsid w:val="7DC508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32758-6BEB-4186-A370-370992894B5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21</Pages>
  <Words>9048</Words>
  <Characters>9644</Characters>
  <Lines>86</Lines>
  <Paragraphs>24</Paragraphs>
  <TotalTime>2</TotalTime>
  <ScaleCrop>false</ScaleCrop>
  <LinksUpToDate>false</LinksUpToDate>
  <CharactersWithSpaces>10492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2022-07-23T08:04:00Z</cp:lastPrinted>
  <dcterms:modified xsi:type="dcterms:W3CDTF">2023-01-17T03:07:18Z</dcterms:modified>
  <dc:title>招  标  文  件</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