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idowControl/>
        <w:spacing w:line="360" w:lineRule="atLeast"/>
        <w:ind w:firstLine="555"/>
        <w:jc w:val="center"/>
        <w:rPr>
          <w:rFonts w:hint="eastAsia" w:ascii="仿宋_GB2312" w:hAnsi="仿宋_GB2312" w:eastAsia="仿宋_GB2312" w:cs="仿宋_GB2312"/>
          <w:b/>
          <w:bCs/>
          <w:color w:val="333333"/>
          <w:szCs w:val="21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8"/>
          <w:szCs w:val="28"/>
        </w:rPr>
        <w:t>南通大学</w:t>
      </w: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8"/>
          <w:szCs w:val="28"/>
          <w:lang w:eastAsia="zh-CN"/>
        </w:rPr>
        <w:t>主校区餐饮服务</w:t>
      </w: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8"/>
          <w:szCs w:val="28"/>
        </w:rPr>
        <w:t>承包招投标公告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</w:rPr>
      </w:pPr>
      <w:r>
        <w:rPr>
          <w:rFonts w:hint="eastAsia" w:ascii="微软雅黑" w:hAnsi="微软雅黑" w:eastAsia="微软雅黑" w:cs="微软雅黑"/>
          <w:color w:val="545454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 xml:space="preserve">  </w:t>
      </w:r>
      <w:bookmarkStart w:id="1" w:name="_GoBack"/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 xml:space="preserve"> 南通大学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主校区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东区一栋约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450平方米的二层楼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增设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为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餐饮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服务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供应点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南通大学后勤保障部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现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对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该餐饮服务点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承包经营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进行邀请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招标，请参加投标单位认真阅读本招标文件，严格按照文件规定进行投标。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一、招标人：南通大学后勤保障部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二、招标项目：南通大学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主校区餐饮服务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承包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项目序号：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2016-133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三、投标人应具备的资格条件：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 xml:space="preserve">     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1.</w:t>
      </w:r>
      <w:r>
        <w:rPr>
          <w:rFonts w:hint="eastAsia" w:ascii="仿宋" w:hAnsi="仿宋" w:eastAsia="仿宋"/>
          <w:sz w:val="24"/>
          <w:szCs w:val="24"/>
        </w:rPr>
        <w:t>投标人应是</w:t>
      </w:r>
      <w:r>
        <w:rPr>
          <w:rFonts w:hint="eastAsia" w:ascii="仿宋" w:hAnsi="仿宋" w:eastAsia="仿宋"/>
          <w:sz w:val="24"/>
          <w:szCs w:val="24"/>
          <w:lang w:eastAsia="zh-CN"/>
        </w:rPr>
        <w:t>具有餐饮资质的企业，</w:t>
      </w:r>
      <w:r>
        <w:rPr>
          <w:rFonts w:ascii="仿宋" w:hAnsi="仿宋" w:eastAsia="仿宋"/>
          <w:sz w:val="24"/>
          <w:szCs w:val="24"/>
        </w:rPr>
        <w:t>注册资金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5</w:t>
      </w:r>
      <w:r>
        <w:rPr>
          <w:rFonts w:ascii="仿宋" w:hAnsi="仿宋" w:eastAsia="仿宋"/>
          <w:sz w:val="24"/>
          <w:szCs w:val="24"/>
        </w:rPr>
        <w:t>00万及以上</w:t>
      </w:r>
      <w:r>
        <w:rPr>
          <w:rFonts w:hint="eastAsia" w:ascii="仿宋" w:hAnsi="仿宋" w:eastAsia="仿宋"/>
          <w:sz w:val="24"/>
          <w:szCs w:val="24"/>
        </w:rPr>
        <w:t>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提交企业法人营业执照副本、组织机构代码证、税务登记证复印件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(或三证合一的营业执照)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提交法定代表人身份证复印件；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法定代表人授权委托书原件，并由法定代表人签字盖章；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提供委托经营人的身份证复印件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企业在近一年内无行贿犯罪违法记录；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7.不接受联合体投标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四、投标文件的组成：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1.投标文件要求：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⑴投标文件包括技术标和商务标文件，请将技术标和商务标文件分别单独密封包装。包装外注明“南通大学食堂承包技术标资料”（写清楚投标单位、联系人姓名及联系电话）；商务标类同。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⑵严格按照招标文件所规定的格式内容编制投标文件。投标人对招标文件未提出异议的条款，均被视为接受和同意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文件编制后必须装订成册，如果夹带在册中的不算文件内容。文件编制不超过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0页。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2.技术标文件主要内容：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（1）资格条件：投标人的资质材料；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（2）提供企业经营业绩；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（3）提供项目经理聘用材料，项目经理身份证复印件、经营业绩（由原经营单位盖章）；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（4）对高校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餐饮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的认识；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550" w:leftChars="262" w:right="0" w:rightChars="0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 xml:space="preserve">（5）竞标思路：明确投标经营项目，营业情况预测、毛利率测算；   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550" w:leftChars="262" w:right="0" w:rightChars="0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（6）承诺：包括服从管理承诺、服从合同条款承诺、发生安全事故的责任承诺、承担经营风险承诺等。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3.商务标文件：填写报价书（见附件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一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）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，报出一年的承包管理费。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4.投标文件出现以下情况，视作为无效投标文件处理：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（1）投标文件未按照要求编制；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（2）报价低于招标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底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价者；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（3）报价高于规定上限者；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（4）投标文件不全者；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（5）投标文件涂改和增删；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（6）投标文件字迹潦草或表达不清的；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（7）未装订成册的。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五、有关说明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1.投标人认真阅读本文件、承包合同样本（附件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二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），一旦投标，视作同意合同条款。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2.投标人在招投标过程中所发生的费用自理，所有投标文件概不退还。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3.投标人须缴投标保证金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000元人民币（现金），中标者转为承包押金，未中标者，凭原始收据无息退还。投标人每份投标书另须缴纳评标费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00元，无论中标与否，均不予退还。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4.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招标方提供水电到户，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中标方经营的水电费每月按实结算，按南通市民用标准收取，从当月营业款中结清。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.中标方必须缴纳承包押金，承包期满，无任何违约、纠纷等，则无息退还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.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本栋楼无其他附属用房，户外不得搭建。经营点所有的装潢、设施设备均由投标方投资，但方案必须得到招标方同意，符合建筑、消防要求。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 xml:space="preserve">.中标方不得转租，也不得擅自改变房屋结构和使用用途； 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.服从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招标方的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食品安全管理等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规章制度；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.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本次招标项目必须具备一定的接待功能；学校接待餐费结算需开具正式发票。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10.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必须参加招标方大宗物资集中采购，并按采购额的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3%上缴管理费；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.本次承包实行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二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年一招、一年一签的管理办法，即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二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年招标一次，每年签订合同。合同期为一年，期满，招标方将对中标人管理、经营、服务、合同履约等情况进行综合考核，再决定是否续签合同。2年承包期满，如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学校政策无变化，中标方第三年可优先续签，承包管理费上浮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10%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right="0" w:rightChars="0" w:firstLine="555"/>
        <w:textAlignment w:val="auto"/>
        <w:rPr>
          <w:rFonts w:hint="eastAsia"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1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.此次招标的服务用房如遇不可抗力因素（政策规划调整、拆除或不可抗力自然灾害）需要拆除或另有他用的，中标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方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必须无条件服从并终止合同。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招标人因学校调整、管理等需要，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在招标期内（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二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年）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有权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单方解除或终止合同，学校按照第一年合同期内不高于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00元/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平方米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、第二年合同期内不高于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0元/ 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平方米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对装璜、设施设备等进行一次性补偿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，第三年则不予补偿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。除此以外，不存在其他任何补偿。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六、合同期限及费用交纳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1.合同一年期满，招标方将对中标人管理、经营、服务、合同履约等情况进行综合考核，符合条件的可以续签合同。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2.投标人中标后，签订合同时必须一次性缴纳承包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履约保证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金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10万元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3.承包管理费每半年一缴，先缴后用。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七、评标方法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1.采用综合评分法。包括技术标（30分）、商务标（70分）两部分。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.技术标为30分。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(1)投标企业基本情况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分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投标企业资质材料完备得1分，投标企业注册资金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达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500万元，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每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上浮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250万元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加1分，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最多加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2分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；企业有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餐饮服务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成功经营案例，每一例加1分，最多3分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;获得市级表彰1项得0.5分，省级表彰1项得1分，全国表彰1项得2分，最多得2分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(2)对高校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餐饮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的理解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分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充分认识高校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餐饮服务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的特殊地位，高校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餐饮服务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的重要性、公益性、稳定性1分;从事高校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餐饮服务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所应具备的管理、服务、经营理念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分；对高校食堂7S管理体系的认识2分；对南通大学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餐饮服务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安全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认识2分。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(3)承包意向及经营思路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分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明确具体的经营项目得1分，经营项目合理得1分；经营情况预测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合理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得1分，毛利率测算分析合理得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 xml:space="preserve">分。 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项目经理业绩6分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480" w:firstLineChars="200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项目经理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有职业经理人证书得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1分；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在高校食堂经营过的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，有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1年得1分，最多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分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项目经理经营过1个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餐饮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项目得1分，每增加1个服务单位加1分，最多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分。须提供业绩证明材料。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bookmarkStart w:id="0" w:name="OLE_LINK2"/>
      <w:r>
        <w:rPr>
          <w:rFonts w:hint="eastAsia" w:ascii="仿宋_GB2312" w:hAnsi="仿宋_GB2312" w:eastAsia="仿宋_GB2312" w:cs="仿宋_GB2312"/>
          <w:color w:val="333333"/>
          <w:szCs w:val="21"/>
        </w:rPr>
        <w:t>(5)承诺</w:t>
      </w:r>
      <w:bookmarkEnd w:id="0"/>
      <w:r>
        <w:rPr>
          <w:rFonts w:hint="eastAsia" w:ascii="仿宋_GB2312" w:hAnsi="仿宋_GB2312" w:eastAsia="仿宋_GB2312" w:cs="仿宋_GB2312"/>
          <w:color w:val="333333"/>
          <w:szCs w:val="21"/>
        </w:rPr>
        <w:t>4分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服从管理承诺、服从合同条款承诺、发生安全事故的责任承诺、承担经营风险承诺。每项满分1分。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4.商务标为70分。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以一年上缴的承包管理费报价作为商务标。招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标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底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价：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万/年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商务标以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所有投标价平均价上浮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10%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为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标底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（满分），投标价（保留小数点后二位）每高于标底1%扣0.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分，每低于标底1%扣0.5分。投标价低于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底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价为废标；投标价高于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45万元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为废标。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如果投标价平均价上浮1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%后超出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45万元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时，则以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45万元为标底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（满分），投标价每低于标底1%扣0.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分（保留小数点二位）。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八、中标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1.以技术标与商务标的得分之和为投标人最终的投标得分，投标得分最高者即为中标者。如最高分相同者，抽签决定。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2.若招标项目只有两个投标人，则采用竞争性磋商；若招标项目只有一个投标人，则采用谈判方式，谈判结果上报招标领导小组决定。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3.无论投标方中标与否，招标方均不作解释。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九、投标文件领取及截止时间、地点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1.领取标书：招标书可在南通大学网站招标公告栏上下载</w:t>
      </w:r>
      <w:r>
        <w:rPr>
          <w:rFonts w:hint="eastAsia" w:ascii="仿宋_GB2312" w:hAnsi="仿宋_GB2312" w:eastAsia="仿宋_GB2312" w:cs="仿宋_GB2312"/>
          <w:b/>
          <w:bCs/>
          <w:color w:val="333333"/>
          <w:szCs w:val="21"/>
        </w:rPr>
        <w:t>，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或到南通大学后勤保障部饮服中心办公室领取。（联系电话 ： 0513-85012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226张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老师）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2实地考察安排：2016年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月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-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28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日8：30至1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:00。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3.标书送达时间：2016年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月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日8：30至1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:00，逾期不予受理。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4.标书送达地点：南通大学主校区综合楼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四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楼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416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会议室。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5.开标时间：2016年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月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日1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:00。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>十、本招标文件的最终解释权为南通大学后勤保障部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餐饮服务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承包招标领导小组。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 xml:space="preserve">                       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/>
        <w:jc w:val="both"/>
        <w:textAlignment w:val="auto"/>
        <w:outlineLvl w:val="9"/>
        <w:rPr>
          <w:rFonts w:ascii="仿宋_GB2312" w:hAnsi="仿宋_GB2312" w:eastAsia="仿宋_GB2312" w:cs="仿宋_GB2312"/>
          <w:color w:val="333333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南通大学后勤保障部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餐饮服务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承包招标领导小组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555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333333"/>
          <w:kern w:val="0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szCs w:val="21"/>
        </w:rPr>
        <w:t xml:space="preserve">                                    2016年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>月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color w:val="333333"/>
          <w:szCs w:val="21"/>
        </w:rPr>
        <w:t xml:space="preserve">日 </w:t>
      </w:r>
    </w:p>
    <w:bookmarkEnd w:id="1"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333333"/>
          <w:kern w:val="0"/>
          <w:szCs w:val="21"/>
        </w:rPr>
      </w:pPr>
    </w:p>
    <w:p>
      <w:pPr>
        <w:widowControl/>
        <w:spacing w:line="360" w:lineRule="atLeast"/>
        <w:ind w:firstLine="420" w:firstLineChars="200"/>
        <w:jc w:val="left"/>
        <w:rPr>
          <w:rFonts w:hint="eastAsia" w:ascii="仿宋_GB2312" w:hAnsi="仿宋_GB2312" w:eastAsia="仿宋_GB2312" w:cs="仿宋_GB2312"/>
          <w:color w:val="333333"/>
          <w:kern w:val="0"/>
          <w:szCs w:val="21"/>
        </w:rPr>
      </w:pPr>
    </w:p>
    <w:p>
      <w:pPr>
        <w:widowControl/>
        <w:spacing w:line="360" w:lineRule="atLeast"/>
        <w:ind w:firstLine="420" w:firstLineChars="200"/>
        <w:jc w:val="left"/>
        <w:rPr>
          <w:rFonts w:hint="eastAsia" w:ascii="仿宋_GB2312" w:hAnsi="仿宋_GB2312" w:eastAsia="仿宋_GB2312" w:cs="仿宋_GB2312"/>
          <w:color w:val="333333"/>
          <w:kern w:val="0"/>
          <w:szCs w:val="21"/>
        </w:rPr>
      </w:pPr>
    </w:p>
    <w:p>
      <w:pPr>
        <w:widowControl/>
        <w:spacing w:line="360" w:lineRule="atLeast"/>
        <w:ind w:firstLine="420" w:firstLineChars="200"/>
        <w:jc w:val="left"/>
        <w:rPr>
          <w:rFonts w:hint="eastAsia" w:ascii="仿宋_GB2312" w:hAnsi="仿宋_GB2312" w:eastAsia="仿宋_GB2312" w:cs="仿宋_GB2312"/>
          <w:color w:val="333333"/>
          <w:kern w:val="0"/>
          <w:szCs w:val="21"/>
        </w:rPr>
      </w:pPr>
    </w:p>
    <w:p>
      <w:pPr>
        <w:widowControl/>
        <w:spacing w:line="360" w:lineRule="atLeast"/>
        <w:ind w:firstLine="420" w:firstLineChars="200"/>
        <w:jc w:val="left"/>
        <w:rPr>
          <w:rFonts w:ascii="仿宋_GB2312" w:hAnsi="仿宋_GB2312" w:eastAsia="仿宋_GB2312" w:cs="仿宋_GB2312"/>
          <w:color w:val="333333"/>
          <w:kern w:val="0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kern w:val="0"/>
          <w:szCs w:val="21"/>
        </w:rPr>
        <w:t xml:space="preserve"> 附件</w:t>
      </w:r>
      <w:r>
        <w:rPr>
          <w:rFonts w:hint="eastAsia" w:ascii="仿宋_GB2312" w:hAnsi="仿宋_GB2312" w:eastAsia="仿宋_GB2312" w:cs="仿宋_GB2312"/>
          <w:color w:val="333333"/>
          <w:kern w:val="0"/>
          <w:szCs w:val="21"/>
          <w:lang w:eastAsia="zh-CN"/>
        </w:rPr>
        <w:t>一</w:t>
      </w:r>
      <w:r>
        <w:rPr>
          <w:rFonts w:hint="eastAsia" w:ascii="仿宋_GB2312" w:hAnsi="仿宋_GB2312" w:eastAsia="仿宋_GB2312" w:cs="仿宋_GB2312"/>
          <w:color w:val="333333"/>
          <w:kern w:val="0"/>
          <w:szCs w:val="21"/>
        </w:rPr>
        <w:t>：投标报价书</w:t>
      </w:r>
    </w:p>
    <w:p>
      <w:pPr>
        <w:widowControl/>
        <w:spacing w:line="360" w:lineRule="atLeast"/>
        <w:ind w:firstLine="420" w:firstLineChars="200"/>
        <w:jc w:val="left"/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widowControl/>
        <w:spacing w:line="360" w:lineRule="atLeast"/>
        <w:ind w:firstLine="422" w:firstLineChars="200"/>
        <w:jc w:val="left"/>
        <w:rPr>
          <w:rFonts w:ascii="仿宋_GB2312" w:hAnsi="仿宋_GB2312" w:eastAsia="仿宋_GB2312" w:cs="仿宋_GB2312"/>
          <w:b/>
          <w:color w:val="333333"/>
          <w:kern w:val="0"/>
          <w:szCs w:val="21"/>
        </w:rPr>
      </w:pPr>
    </w:p>
    <w:p>
      <w:pPr>
        <w:widowControl/>
        <w:spacing w:line="360" w:lineRule="atLeast"/>
        <w:ind w:firstLine="562" w:firstLineChars="200"/>
        <w:jc w:val="center"/>
        <w:rPr>
          <w:rFonts w:ascii="仿宋_GB2312" w:hAnsi="仿宋_GB2312" w:eastAsia="仿宋_GB2312" w:cs="仿宋_GB2312"/>
          <w:b/>
          <w:color w:val="333333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333333"/>
          <w:kern w:val="0"/>
          <w:sz w:val="28"/>
          <w:szCs w:val="28"/>
        </w:rPr>
        <w:t>投  标  报   价   书</w:t>
      </w:r>
    </w:p>
    <w:p>
      <w:pPr>
        <w:widowControl/>
        <w:spacing w:line="360" w:lineRule="atLeast"/>
        <w:ind w:firstLine="420" w:firstLineChars="200"/>
        <w:jc w:val="left"/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tbl>
      <w:tblPr>
        <w:tblStyle w:val="14"/>
        <w:tblW w:w="7894" w:type="dxa"/>
        <w:tblInd w:w="43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5"/>
        <w:gridCol w:w="4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3825" w:type="dxa"/>
            <w:vAlign w:val="center"/>
          </w:tcPr>
          <w:p>
            <w:pPr>
              <w:widowControl/>
              <w:spacing w:line="360" w:lineRule="atLeast"/>
              <w:ind w:firstLine="562" w:firstLineChars="200"/>
              <w:jc w:val="center"/>
              <w:rPr>
                <w:rFonts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</w:rPr>
              <w:t xml:space="preserve">投   标   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  <w:lang w:eastAsia="zh-CN"/>
              </w:rPr>
              <w:t>底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  <w:lang w:eastAsia="zh-CN"/>
              </w:rPr>
              <w:t>价</w:t>
            </w:r>
          </w:p>
        </w:tc>
        <w:tc>
          <w:tcPr>
            <w:tcW w:w="4069" w:type="dxa"/>
            <w:vAlign w:val="center"/>
          </w:tcPr>
          <w:p>
            <w:pPr>
              <w:widowControl/>
              <w:spacing w:line="360" w:lineRule="atLeast"/>
              <w:ind w:firstLine="562" w:firstLineChars="200"/>
              <w:jc w:val="center"/>
              <w:rPr>
                <w:rFonts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</w:rPr>
              <w:t>投 标 报 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7" w:hRule="atLeast"/>
        </w:trPr>
        <w:tc>
          <w:tcPr>
            <w:tcW w:w="3825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spacing w:line="360" w:lineRule="atLeast"/>
              <w:jc w:val="left"/>
              <w:rPr>
                <w:rFonts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  <w:lang w:val="en-US" w:eastAsia="zh-CN"/>
              </w:rPr>
              <w:t>25万元/年</w:t>
            </w:r>
          </w:p>
          <w:p>
            <w:pPr>
              <w:widowControl/>
              <w:spacing w:line="360" w:lineRule="atLeast"/>
              <w:ind w:firstLine="562" w:firstLineChars="200"/>
              <w:jc w:val="left"/>
              <w:rPr>
                <w:rFonts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spacing w:line="360" w:lineRule="atLeast"/>
              <w:ind w:firstLine="562" w:firstLineChars="200"/>
              <w:jc w:val="left"/>
              <w:rPr>
                <w:rFonts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4069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hint="eastAsia"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  <w:lang w:eastAsia="zh-CN"/>
              </w:rPr>
              <w:t>小写：</w:t>
            </w:r>
          </w:p>
          <w:p>
            <w:pPr>
              <w:widowControl/>
              <w:spacing w:line="360" w:lineRule="atLeast"/>
              <w:jc w:val="left"/>
              <w:rPr>
                <w:rFonts w:hint="eastAsia"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  <w:lang w:eastAsia="zh-CN"/>
              </w:rPr>
            </w:pPr>
          </w:p>
          <w:p>
            <w:pPr>
              <w:widowControl/>
              <w:spacing w:line="360" w:lineRule="atLeast"/>
              <w:jc w:val="left"/>
              <w:rPr>
                <w:rFonts w:hint="eastAsia"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kern w:val="0"/>
                <w:sz w:val="28"/>
                <w:szCs w:val="28"/>
                <w:lang w:eastAsia="zh-CN"/>
              </w:rPr>
              <w:t>大写：</w:t>
            </w:r>
          </w:p>
        </w:tc>
      </w:tr>
    </w:tbl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 w:val="24"/>
        </w:rPr>
      </w:pPr>
    </w:p>
    <w:p>
      <w:pPr>
        <w:rPr>
          <w:rFonts w:hint="eastAsia" w:ascii="仿宋_GB2312" w:hAnsi="仿宋_GB2312" w:eastAsia="仿宋_GB2312" w:cs="仿宋_GB2312"/>
          <w:color w:val="333333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333333"/>
          <w:kern w:val="0"/>
          <w:sz w:val="24"/>
        </w:rPr>
        <w:t xml:space="preserve">                                       </w:t>
      </w:r>
      <w:r>
        <w:rPr>
          <w:rFonts w:hint="eastAsia" w:ascii="仿宋_GB2312" w:hAnsi="仿宋_GB2312" w:eastAsia="仿宋_GB2312" w:cs="仿宋_GB2312"/>
          <w:color w:val="333333"/>
          <w:kern w:val="0"/>
          <w:sz w:val="28"/>
          <w:szCs w:val="28"/>
        </w:rPr>
        <w:t>投标单位（盖章）</w:t>
      </w:r>
    </w:p>
    <w:p>
      <w:pPr>
        <w:rPr>
          <w:rFonts w:hint="eastAsia" w:ascii="仿宋_GB2312" w:hAnsi="仿宋_GB2312" w:eastAsia="仿宋_GB2312" w:cs="仿宋_GB2312"/>
          <w:color w:val="333333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333333"/>
          <w:kern w:val="0"/>
          <w:sz w:val="28"/>
          <w:szCs w:val="28"/>
          <w:lang w:val="en-US" w:eastAsia="zh-CN"/>
        </w:rPr>
        <w:t xml:space="preserve">                                  联系人及号码：</w:t>
      </w:r>
    </w:p>
    <w:p>
      <w:pPr>
        <w:rPr>
          <w:rFonts w:ascii="仿宋_GB2312" w:hAnsi="仿宋_GB2312" w:eastAsia="仿宋_GB2312" w:cs="仿宋_GB2312"/>
          <w:color w:val="333333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333333"/>
          <w:kern w:val="0"/>
          <w:sz w:val="28"/>
          <w:szCs w:val="28"/>
        </w:rPr>
        <w:t xml:space="preserve">                                          年  月  日</w:t>
      </w:r>
    </w:p>
    <w:p>
      <w:pPr>
        <w:rPr>
          <w:rFonts w:ascii="仿宋_GB2312" w:hAnsi="仿宋_GB2312" w:eastAsia="仿宋_GB2312" w:cs="仿宋_GB2312"/>
          <w:color w:val="333333"/>
          <w:kern w:val="0"/>
          <w:sz w:val="28"/>
          <w:szCs w:val="28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p>
      <w:pPr>
        <w:rPr>
          <w:rFonts w:ascii="仿宋_GB2312" w:hAnsi="仿宋_GB2312" w:eastAsia="仿宋_GB2312" w:cs="仿宋_GB2312"/>
          <w:color w:val="333333"/>
          <w:kern w:val="0"/>
          <w:szCs w:val="21"/>
        </w:rPr>
      </w:pPr>
      <w:r>
        <w:rPr>
          <w:rFonts w:hint="eastAsia" w:ascii="仿宋_GB2312" w:hAnsi="仿宋_GB2312" w:eastAsia="仿宋_GB2312" w:cs="仿宋_GB2312"/>
          <w:color w:val="333333"/>
          <w:kern w:val="0"/>
          <w:szCs w:val="21"/>
        </w:rPr>
        <w:t>附件</w:t>
      </w:r>
      <w:r>
        <w:rPr>
          <w:rFonts w:hint="eastAsia" w:ascii="仿宋_GB2312" w:hAnsi="仿宋_GB2312" w:eastAsia="仿宋_GB2312" w:cs="仿宋_GB2312"/>
          <w:color w:val="333333"/>
          <w:kern w:val="0"/>
          <w:szCs w:val="21"/>
          <w:lang w:eastAsia="zh-CN"/>
        </w:rPr>
        <w:t>二</w:t>
      </w:r>
      <w:r>
        <w:rPr>
          <w:rFonts w:hint="eastAsia" w:ascii="仿宋_GB2312" w:hAnsi="仿宋_GB2312" w:eastAsia="仿宋_GB2312" w:cs="仿宋_GB2312"/>
          <w:color w:val="333333"/>
          <w:kern w:val="0"/>
          <w:szCs w:val="21"/>
        </w:rPr>
        <w:t>：合同样本</w:t>
      </w:r>
    </w:p>
    <w:p>
      <w:pPr>
        <w:snapToGrid w:val="0"/>
        <w:spacing w:line="440" w:lineRule="exact"/>
        <w:jc w:val="center"/>
        <w:rPr>
          <w:rFonts w:ascii="黑体" w:eastAsia="黑体"/>
          <w:sz w:val="24"/>
        </w:rPr>
      </w:pPr>
      <w:r>
        <w:rPr>
          <w:rFonts w:hint="eastAsia" w:ascii="黑体" w:eastAsia="黑体"/>
          <w:sz w:val="24"/>
        </w:rPr>
        <w:t>承包合同</w:t>
      </w:r>
    </w:p>
    <w:p>
      <w:pPr>
        <w:snapToGrid w:val="0"/>
        <w:spacing w:line="440" w:lineRule="exact"/>
        <w:jc w:val="center"/>
        <w:rPr>
          <w:rFonts w:ascii="黑体" w:eastAsia="黑体"/>
          <w:sz w:val="24"/>
        </w:rPr>
      </w:pPr>
    </w:p>
    <w:p>
      <w:pPr>
        <w:snapToGrid w:val="0"/>
        <w:spacing w:line="360" w:lineRule="exact"/>
        <w:rPr>
          <w:rFonts w:ascii="仿宋_GB2312" w:hAnsi="仿宋_GB2312" w:eastAsia="仿宋_GB2312" w:cs="仿宋_GB2312"/>
          <w:b/>
          <w:szCs w:val="21"/>
        </w:rPr>
      </w:pPr>
      <w:r>
        <w:rPr>
          <w:rFonts w:hint="eastAsia" w:ascii="仿宋_GB2312" w:hAnsi="仿宋_GB2312" w:eastAsia="仿宋_GB2312" w:cs="仿宋_GB2312"/>
          <w:b/>
          <w:szCs w:val="21"/>
        </w:rPr>
        <w:t>甲  方：南通大学后勤保障部</w:t>
      </w:r>
    </w:p>
    <w:p>
      <w:pPr>
        <w:snapToGrid w:val="0"/>
        <w:spacing w:line="360" w:lineRule="exact"/>
        <w:rPr>
          <w:rFonts w:ascii="仿宋_GB2312" w:hAnsi="仿宋_GB2312" w:eastAsia="仿宋_GB2312" w:cs="仿宋_GB2312"/>
          <w:b/>
          <w:szCs w:val="21"/>
        </w:rPr>
      </w:pPr>
      <w:r>
        <w:rPr>
          <w:rFonts w:hint="eastAsia" w:ascii="仿宋_GB2312" w:hAnsi="仿宋_GB2312" w:eastAsia="仿宋_GB2312" w:cs="仿宋_GB2312"/>
          <w:b/>
          <w:szCs w:val="21"/>
        </w:rPr>
        <w:t>乙  方：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根据学校招投标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结果</w:t>
      </w:r>
      <w:r>
        <w:rPr>
          <w:rFonts w:hint="eastAsia" w:ascii="仿宋_GB2312" w:hAnsi="仿宋_GB2312" w:eastAsia="仿宋_GB2312" w:cs="仿宋_GB2312"/>
          <w:szCs w:val="21"/>
        </w:rPr>
        <w:t>，按照平等、自愿原则，经甲、乙双方协商，同意订立如下合同。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一、1.甲方现将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主校区一栋楼约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>450平方米</w:t>
      </w:r>
      <w:r>
        <w:rPr>
          <w:rFonts w:hint="eastAsia" w:ascii="仿宋_GB2312" w:hAnsi="仿宋_GB2312" w:eastAsia="仿宋_GB2312" w:cs="仿宋_GB2312"/>
          <w:szCs w:val="21"/>
        </w:rPr>
        <w:t>承包给乙方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用作餐饮服务，乙方必须合法经营</w:t>
      </w:r>
      <w:r>
        <w:rPr>
          <w:rFonts w:hint="eastAsia" w:ascii="仿宋_GB2312" w:hAnsi="仿宋_GB2312" w:eastAsia="仿宋_GB2312" w:cs="仿宋_GB2312"/>
          <w:szCs w:val="21"/>
        </w:rPr>
        <w:t>。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经营范围：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 xml:space="preserve">    </w:t>
      </w:r>
    </w:p>
    <w:p>
      <w:pPr>
        <w:spacing w:line="360" w:lineRule="exact"/>
        <w:ind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2. 根据招标结果，乙方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全年</w:t>
      </w:r>
      <w:r>
        <w:rPr>
          <w:rFonts w:hint="eastAsia" w:ascii="仿宋_GB2312" w:hAnsi="仿宋_GB2312" w:eastAsia="仿宋_GB2312" w:cs="仿宋_GB2312"/>
          <w:szCs w:val="21"/>
        </w:rPr>
        <w:t>上缴承包管理费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 xml:space="preserve">      万元</w:t>
      </w:r>
      <w:r>
        <w:rPr>
          <w:rFonts w:hint="eastAsia" w:ascii="仿宋_GB2312" w:hAnsi="仿宋_GB2312" w:eastAsia="仿宋_GB2312" w:cs="仿宋_GB2312"/>
          <w:szCs w:val="21"/>
        </w:rPr>
        <w:t>，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每半年缴纳一次，先缴后用。</w:t>
      </w:r>
    </w:p>
    <w:p>
      <w:pPr>
        <w:spacing w:line="360" w:lineRule="exact"/>
        <w:ind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3. 缴纳承包押金人民币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Cs w:val="21"/>
        </w:rPr>
        <w:t>万元。</w:t>
      </w:r>
    </w:p>
    <w:p>
      <w:pPr>
        <w:snapToGrid w:val="0"/>
        <w:spacing w:line="360" w:lineRule="exact"/>
        <w:ind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二、甲方的义务</w:t>
      </w:r>
    </w:p>
    <w:p>
      <w:pPr>
        <w:snapToGrid w:val="0"/>
        <w:spacing w:line="360" w:lineRule="exact"/>
        <w:ind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1．负责水、电供应，并按照南通市对我校收费标准以表按月收取费用。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2．定期或不定期地开办各种培训班，对乙方工作人员进行“三服务两育人”的思想教育，组织政治学习，以及对《食品安全法》的学习和教育。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3．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协助乙方领取证照合法经营。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三、甲方的权利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1．遇下述情况，甲方有权给予一定经济处罚并立即终止合同，一切责任由乙方负责。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(1)乙方有严重违法乱纪行为，损坏学校名誉，造成不良影响。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(2)未经甲方同意，擅自停业，不能保证正常伙食供应。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(3)发生食物中毒事件。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(4)经营情况差，师生意见大，满意率低，反映强烈。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(5)不服从甲方管理私自转包。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(6)有严重违反《劳动合同法》行为。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(7)因承包中的债务问题或其他纠纷影响学校声誉的。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2．乙方出现的下列情况，甲方有权给予一定经济处罚。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(1)违反学校的规章制度。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(2)服务态度差，造成不良影响。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(3)质价明显不符。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(4)卫生检查不合格。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(5)超规定范围经营。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(6)不信守投标承诺。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(7)违反招投标文件及本合同内容。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3．甲方对乙方的饭菜质量、服务态度、卫生状况、管理水平等进行定期考核。承包一年期满，考核不合格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，则</w:t>
      </w:r>
      <w:r>
        <w:rPr>
          <w:rFonts w:hint="eastAsia" w:ascii="仿宋_GB2312" w:hAnsi="仿宋_GB2312" w:eastAsia="仿宋_GB2312" w:cs="仿宋_GB2312"/>
          <w:szCs w:val="21"/>
        </w:rPr>
        <w:t>不再续签。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4.所有假期和节假日值班，服从甲方统一安排。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5.按乙方人员数定期核发工作服、帽子、口罩、一次性手套等，费用由乙方承担。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6.合同期满，一周内乙方必须撤出；若逾期，甲方有权对尚未撤出的乙方资产进行处理。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四、乙方的权利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1．按照《食品安全法》的要求开展本食堂各项工作。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2．根据自己的经营需要，配备技术力量及服务人员。乙方自觉遵守《劳动合同法》，并接受甲方的检查、监督，否则，一切责任由乙方自负。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3．参加甲方组织的食品安全法规的学习和员工的服务培训等。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4．参加饮服中心组织召开的食堂承包人会议，听取就餐者的意见反馈，听取学校对食堂的各项工作要求。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5．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参加甲方</w:t>
      </w:r>
      <w:r>
        <w:rPr>
          <w:rFonts w:hint="eastAsia" w:ascii="仿宋_GB2312" w:hAnsi="仿宋_GB2312" w:eastAsia="仿宋_GB2312" w:cs="仿宋_GB2312"/>
          <w:szCs w:val="21"/>
        </w:rPr>
        <w:t>组织的大宗食品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原料</w:t>
      </w:r>
      <w:r>
        <w:rPr>
          <w:rFonts w:hint="eastAsia" w:ascii="仿宋_GB2312" w:hAnsi="仿宋_GB2312" w:eastAsia="仿宋_GB2312" w:cs="仿宋_GB2312"/>
          <w:szCs w:val="21"/>
        </w:rPr>
        <w:t>等集中采购。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五、乙方的义务</w:t>
      </w:r>
    </w:p>
    <w:p>
      <w:pPr>
        <w:snapToGrid w:val="0"/>
        <w:spacing w:line="360" w:lineRule="exact"/>
        <w:ind w:right="-512" w:rightChars="-244" w:firstLine="420" w:firstLineChars="200"/>
        <w:rPr>
          <w:rFonts w:hint="eastAsia" w:ascii="仿宋_GB2312" w:hAnsi="仿宋_GB2312" w:eastAsia="仿宋_GB2312" w:cs="仿宋_GB2312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szCs w:val="21"/>
        </w:rPr>
        <w:t>1．乙方不得擅自破坏房屋结构，如需要对内部结构改造装璜，必须得到甲方同意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本栋楼无其他附属用房，户外不得搭建。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2．乙方不得随意乱写、乱挂、乱张贴菜谱以及广告等宣传牌，应严格按甲方要求并在指定区域、地点张贴。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3．乙方须逐月交纳使用的水、电费用，以及其他应交纳的费用。如出现偷盗水电的情况，则接受学校按实际偷盗数额五倍处罚。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4．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乙方需持证合法经营，自行承担无证经营的一切法律责任和后果。</w:t>
      </w:r>
    </w:p>
    <w:p>
      <w:pPr>
        <w:snapToGrid w:val="0"/>
        <w:spacing w:line="360" w:lineRule="exact"/>
        <w:ind w:right="-512" w:rightChars="-244" w:firstLine="420" w:firstLineChars="200"/>
        <w:rPr>
          <w:rFonts w:hint="eastAsia"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5．乙方做好安全生产工作，规范用水、用电、用气，严禁私拉乱接；做好防火、防盗、防毒工作。因违规操作、防范措施不得力而引起的后果，由乙方自负。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6．加强对所聘员工的安全教育，因乙方疏于管理、教育而引起的安全事故，均由乙方自行负责承担，甲方有权追究乙方的经济和法律责任。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7．乙方负责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承包范围内的卫生</w:t>
      </w:r>
      <w:r>
        <w:rPr>
          <w:rFonts w:hint="eastAsia" w:ascii="仿宋_GB2312" w:hAnsi="仿宋_GB2312" w:eastAsia="仿宋_GB2312" w:cs="仿宋_GB2312"/>
          <w:szCs w:val="21"/>
        </w:rPr>
        <w:t>。乙方内外场的泔水须服从甲方的统一管理，不得擅自处理。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8．虚心听取就餐者的意见，不断提高服务质量。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9．乙方所有工作人员必须持健康证上岗，乙方所有人员的健康证交饮服中心保存备案。有关费用均由乙方负责。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10．乙方窗口服务人员必须规范服务，着装整洁、挂牌上岗、文明用语、有问必答，对就餐人员做到“打不还手，骂不还口”。及时处理窗口矛盾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11．乙方不得随意更换项目经理，如要更换，必须得到甲方同意，否则，甲方可处罚乙方承包押金的20%。</w:t>
      </w:r>
    </w:p>
    <w:p>
      <w:pPr>
        <w:snapToGrid w:val="0"/>
        <w:spacing w:line="360" w:lineRule="exact"/>
        <w:ind w:right="-512" w:rightChars="-244" w:firstLine="420" w:firstLineChars="200"/>
        <w:rPr>
          <w:rFonts w:hint="eastAsia"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12．乙方必须服从甲方对食堂原料、调味品物资的统一采购</w:t>
      </w:r>
      <w:r>
        <w:rPr>
          <w:rFonts w:hint="eastAsia" w:ascii="仿宋_GB2312" w:hAnsi="仿宋_GB2312" w:eastAsia="仿宋_GB2312" w:cs="仿宋_GB2312"/>
          <w:szCs w:val="21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333333"/>
          <w:szCs w:val="21"/>
          <w:lang w:eastAsia="zh-CN"/>
        </w:rPr>
        <w:t>并按采购额的</w:t>
      </w:r>
      <w:r>
        <w:rPr>
          <w:rFonts w:hint="eastAsia" w:ascii="仿宋_GB2312" w:hAnsi="仿宋_GB2312" w:eastAsia="仿宋_GB2312" w:cs="仿宋_GB2312"/>
          <w:color w:val="333333"/>
          <w:szCs w:val="21"/>
          <w:lang w:val="en-US" w:eastAsia="zh-CN"/>
        </w:rPr>
        <w:t>3%上缴管理费，</w:t>
      </w:r>
      <w:r>
        <w:rPr>
          <w:rFonts w:hint="eastAsia" w:ascii="仿宋_GB2312" w:hAnsi="仿宋_GB2312" w:eastAsia="仿宋_GB2312" w:cs="仿宋_GB2312"/>
          <w:szCs w:val="21"/>
        </w:rPr>
        <w:t>未经甲方同意私自采购的，按私自采购金额扣罚保证金。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1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Cs w:val="21"/>
        </w:rPr>
        <w:t>.乙方必须与甲方签订《安全责任状》。严格执行《食品安全法》，必须执行甲方的规章制度，签订《食品安全责任书》。加强对食品、周围环境、职工个人的卫生管理，杜绝食物中毒事件。一旦发生食物中毒，必须接受甲方处罚人民币两万元至八万元，并承担因食物中毒引起的一切法律责任和市卫生监督部门的行政、经济处罚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1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Cs w:val="21"/>
        </w:rPr>
        <w:t>.根据招标要求，在签订合同的同时，向甲方缴纳承包押金。合同期满，卫生安全无事故、遵守承包承诺等，甲方无息退回押金。退还时间为学期开学正常15天后，由学校财务部门统一安排办理手续。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left="0" w:leftChars="0" w:right="-512" w:rightChars="-244" w:firstLine="42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Cs w:val="21"/>
        </w:rPr>
        <w:t>1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Cs w:val="21"/>
        </w:rPr>
        <w:t>．承包人中途不得退出承包，因特殊情况确需提前终止合同，须提前20日向甲方书面申请，在甲方同意后5日内必须撤离，并接受甲方对乙方承包押金30～100%的扣罚。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left="0" w:leftChars="0" w:right="-512" w:rightChars="-244" w:firstLine="42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2"/>
          <w:sz w:val="21"/>
          <w:szCs w:val="21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Cs w:val="21"/>
        </w:rPr>
        <w:t>1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Cs w:val="21"/>
        </w:rPr>
        <w:t>.</w:t>
      </w:r>
      <w:r>
        <w:rPr>
          <w:rFonts w:hint="eastAsia" w:ascii="仿宋_GB2312" w:hAnsi="仿宋_GB2312" w:eastAsia="仿宋_GB2312" w:cs="仿宋_GB2312"/>
          <w:kern w:val="2"/>
          <w:sz w:val="21"/>
          <w:szCs w:val="21"/>
          <w:lang w:val="en-US" w:eastAsia="zh-CN" w:bidi="ar-SA"/>
        </w:rPr>
        <w:t>服务用房如遇不可抗力因素（政策规划调整、拆除或不可抗力自然灾害）需要拆除或另有他用的，中标方必须无条件服从并终止合同。因学校调整、管理等需要，招标人在招标期内（二年）有权单方解除或终止合同，学校按照第一年合同期内不高于300元/平方米、第二年合同期内不高于250元/ 平方米对装璜、设施设备等进行一次性补偿。除此以外，不存在其他任何补偿。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1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Cs w:val="21"/>
        </w:rPr>
        <w:t>．因经营不善出现亏损的，与甲方无关。承包期内，乙方必须及时处理与本承包相关的债权债务关系，甲方对乙方所产生的债权债务概不负责。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六、承包时间自年月 日起至2017年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 xml:space="preserve">  月   </w:t>
      </w:r>
      <w:r>
        <w:rPr>
          <w:rFonts w:hint="eastAsia" w:ascii="仿宋_GB2312" w:hAnsi="仿宋_GB2312" w:eastAsia="仿宋_GB2312" w:cs="仿宋_GB2312"/>
          <w:szCs w:val="21"/>
        </w:rPr>
        <w:t>日止。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七、合同争议处理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1．承包合同依法订立，具有法律约束力，双方应当全面履行，并严格执行合同的变更、解除、终止和给付经济补偿的规定。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2．发生争议的，由双方协商解决。不愿意协商或协商后仍不能解决的，可向合同争议仲裁委员会申请仲裁，对仲裁不服的，亦可按规定向人民法院提起诉讼。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八、本合同一式四份，甲方执三份，乙方执一份。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九、本合同自双方签字、盖章之日起生效，招标文件和投标书作为本合同附件具有同等法律效应。</w:t>
      </w:r>
    </w:p>
    <w:p>
      <w:pPr>
        <w:snapToGrid w:val="0"/>
        <w:spacing w:line="360" w:lineRule="exact"/>
        <w:ind w:right="-512" w:rightChars="-244" w:firstLine="420" w:firstLineChars="200"/>
        <w:rPr>
          <w:rFonts w:ascii="仿宋_GB2312" w:hAnsi="仿宋_GB2312" w:eastAsia="仿宋_GB2312" w:cs="仿宋_GB2312"/>
          <w:szCs w:val="21"/>
        </w:rPr>
      </w:pPr>
    </w:p>
    <w:p>
      <w:pPr>
        <w:snapToGrid w:val="0"/>
        <w:spacing w:line="360" w:lineRule="exact"/>
        <w:ind w:right="-512" w:rightChars="-244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 xml:space="preserve">甲      方：南通大学后勤保障部（盖章）     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Cs w:val="21"/>
        </w:rPr>
        <w:t>乙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Cs w:val="21"/>
        </w:rPr>
        <w:t>方（签章）：</w:t>
      </w:r>
    </w:p>
    <w:p>
      <w:pPr>
        <w:snapToGrid w:val="0"/>
        <w:spacing w:line="360" w:lineRule="exact"/>
        <w:ind w:right="-512" w:rightChars="-244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委托代表人：                                     委托代表人：</w:t>
      </w:r>
    </w:p>
    <w:p>
      <w:pPr>
        <w:snapToGrid w:val="0"/>
        <w:spacing w:line="360" w:lineRule="exact"/>
        <w:ind w:right="-512" w:rightChars="-244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地       址：南通市啬园路9号                    地   址：</w:t>
      </w:r>
    </w:p>
    <w:p>
      <w:pPr>
        <w:snapToGrid w:val="0"/>
        <w:spacing w:line="360" w:lineRule="exact"/>
        <w:ind w:right="-512" w:rightChars="-244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 xml:space="preserve">联 系 电 话：051385012212                      </w:t>
      </w:r>
      <w:r>
        <w:rPr>
          <w:rFonts w:hint="eastAsia" w:ascii="仿宋_GB2312" w:hAnsi="仿宋_GB2312" w:eastAsia="仿宋_GB2312" w:cs="仿宋_GB2312"/>
          <w:szCs w:val="21"/>
        </w:rPr>
        <w:tab/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Cs w:val="21"/>
        </w:rPr>
        <w:t>联系电话：</w:t>
      </w:r>
    </w:p>
    <w:p>
      <w:pPr>
        <w:snapToGrid w:val="0"/>
        <w:spacing w:line="360" w:lineRule="exact"/>
        <w:ind w:right="-512" w:rightChars="-244"/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 xml:space="preserve">                                                 身份证号：</w:t>
      </w:r>
    </w:p>
    <w:p>
      <w:pPr>
        <w:snapToGrid w:val="0"/>
        <w:spacing w:line="360" w:lineRule="exact"/>
        <w:ind w:right="-512" w:rightChars="-244" w:firstLine="735" w:firstLineChars="350"/>
        <w:rPr>
          <w:rFonts w:ascii="仿宋_GB2312" w:hAnsi="仿宋_GB2312" w:eastAsia="仿宋_GB2312" w:cs="仿宋_GB2312"/>
          <w:color w:val="333333"/>
          <w:kern w:val="0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年   月   日                               年   月   日</w:t>
      </w:r>
    </w:p>
    <w:p>
      <w:pPr>
        <w:pStyle w:val="4"/>
        <w:widowControl/>
        <w:spacing w:line="360" w:lineRule="atLeast"/>
        <w:ind w:firstLine="555"/>
        <w:jc w:val="both"/>
        <w:rPr>
          <w:rFonts w:hint="eastAsia" w:ascii="仿宋_GB2312" w:hAnsi="仿宋_GB2312" w:eastAsia="仿宋_GB2312" w:cs="仿宋_GB2312"/>
          <w:color w:val="333333"/>
          <w:szCs w:val="21"/>
        </w:rPr>
      </w:pPr>
    </w:p>
    <w:p>
      <w:pPr>
        <w:jc w:val="both"/>
        <w:rPr>
          <w:rFonts w:ascii="仿宋_GB2312" w:hAnsi="仿宋_GB2312" w:eastAsia="仿宋_GB2312" w:cs="仿宋_GB2312"/>
          <w:color w:val="333333"/>
          <w:kern w:val="0"/>
          <w:szCs w:val="21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monospace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Lucida Sans">
    <w:altName w:val="Lucida Sans Unicode"/>
    <w:panose1 w:val="020B0602030504020204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1C280"/>
    <w:multiLevelType w:val="singleLevel"/>
    <w:tmpl w:val="57A1C280"/>
    <w:lvl w:ilvl="0" w:tentative="0">
      <w:start w:val="4"/>
      <w:numFmt w:val="decimal"/>
      <w:suff w:val="nothing"/>
      <w:lvlText w:val="(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CF01FD"/>
    <w:rsid w:val="00014CF7"/>
    <w:rsid w:val="00054910"/>
    <w:rsid w:val="0017193D"/>
    <w:rsid w:val="00554317"/>
    <w:rsid w:val="005E3277"/>
    <w:rsid w:val="00654C01"/>
    <w:rsid w:val="00697E07"/>
    <w:rsid w:val="008D6F1F"/>
    <w:rsid w:val="008F14F6"/>
    <w:rsid w:val="009E593C"/>
    <w:rsid w:val="00A05EEE"/>
    <w:rsid w:val="00AD33E4"/>
    <w:rsid w:val="00B242A3"/>
    <w:rsid w:val="00BF35D1"/>
    <w:rsid w:val="00C05363"/>
    <w:rsid w:val="00CA0BA8"/>
    <w:rsid w:val="00D20842"/>
    <w:rsid w:val="00DF0EC7"/>
    <w:rsid w:val="00F05855"/>
    <w:rsid w:val="00F102EE"/>
    <w:rsid w:val="00FA0925"/>
    <w:rsid w:val="00FC2304"/>
    <w:rsid w:val="01991642"/>
    <w:rsid w:val="02FE155B"/>
    <w:rsid w:val="03101928"/>
    <w:rsid w:val="03397335"/>
    <w:rsid w:val="035C6CE0"/>
    <w:rsid w:val="04266610"/>
    <w:rsid w:val="0446205E"/>
    <w:rsid w:val="050E48D7"/>
    <w:rsid w:val="053A6BD0"/>
    <w:rsid w:val="054A0CC3"/>
    <w:rsid w:val="05657B42"/>
    <w:rsid w:val="05661A62"/>
    <w:rsid w:val="05CC511F"/>
    <w:rsid w:val="05F36140"/>
    <w:rsid w:val="06E563D1"/>
    <w:rsid w:val="075002FB"/>
    <w:rsid w:val="07A17F76"/>
    <w:rsid w:val="08161065"/>
    <w:rsid w:val="0A11116C"/>
    <w:rsid w:val="0A644CFD"/>
    <w:rsid w:val="0A716B31"/>
    <w:rsid w:val="0A8A6162"/>
    <w:rsid w:val="0AA37D2B"/>
    <w:rsid w:val="0AFF0C03"/>
    <w:rsid w:val="0B103B1A"/>
    <w:rsid w:val="0B3A2FA8"/>
    <w:rsid w:val="0BF374D4"/>
    <w:rsid w:val="0C0D1A12"/>
    <w:rsid w:val="0CF169C4"/>
    <w:rsid w:val="0EB46AB3"/>
    <w:rsid w:val="0F374659"/>
    <w:rsid w:val="10554483"/>
    <w:rsid w:val="10C64F24"/>
    <w:rsid w:val="11246201"/>
    <w:rsid w:val="112C50CE"/>
    <w:rsid w:val="11442112"/>
    <w:rsid w:val="11BB077B"/>
    <w:rsid w:val="12165752"/>
    <w:rsid w:val="121D437C"/>
    <w:rsid w:val="135A5B0B"/>
    <w:rsid w:val="145D1240"/>
    <w:rsid w:val="1549799A"/>
    <w:rsid w:val="15D7005E"/>
    <w:rsid w:val="165D4FA4"/>
    <w:rsid w:val="16BE32C8"/>
    <w:rsid w:val="16D55025"/>
    <w:rsid w:val="176019D5"/>
    <w:rsid w:val="182407F4"/>
    <w:rsid w:val="18256CA3"/>
    <w:rsid w:val="18391B3E"/>
    <w:rsid w:val="183F12DA"/>
    <w:rsid w:val="18727D9C"/>
    <w:rsid w:val="18DF6EB2"/>
    <w:rsid w:val="194E69A8"/>
    <w:rsid w:val="1956152D"/>
    <w:rsid w:val="19951AE7"/>
    <w:rsid w:val="19C470DF"/>
    <w:rsid w:val="1AAF70F4"/>
    <w:rsid w:val="1BC7560A"/>
    <w:rsid w:val="1C18792B"/>
    <w:rsid w:val="1D2A27DE"/>
    <w:rsid w:val="1D6525AE"/>
    <w:rsid w:val="1D862CB7"/>
    <w:rsid w:val="1DFD7CCE"/>
    <w:rsid w:val="1E55076B"/>
    <w:rsid w:val="1E646683"/>
    <w:rsid w:val="1EBA5920"/>
    <w:rsid w:val="1F301905"/>
    <w:rsid w:val="1FC31D6E"/>
    <w:rsid w:val="1FD83115"/>
    <w:rsid w:val="1FE42653"/>
    <w:rsid w:val="200E7EF5"/>
    <w:rsid w:val="201A5844"/>
    <w:rsid w:val="202015E4"/>
    <w:rsid w:val="20953E30"/>
    <w:rsid w:val="21D27734"/>
    <w:rsid w:val="2224161D"/>
    <w:rsid w:val="22EE006A"/>
    <w:rsid w:val="24127DEF"/>
    <w:rsid w:val="243A2B9A"/>
    <w:rsid w:val="24F644FE"/>
    <w:rsid w:val="25D7167D"/>
    <w:rsid w:val="26BF7B55"/>
    <w:rsid w:val="28C702D0"/>
    <w:rsid w:val="28FE17D8"/>
    <w:rsid w:val="29034E33"/>
    <w:rsid w:val="292E5600"/>
    <w:rsid w:val="29B71F94"/>
    <w:rsid w:val="2A51717A"/>
    <w:rsid w:val="2DF71CE8"/>
    <w:rsid w:val="2E295E00"/>
    <w:rsid w:val="2E8541E8"/>
    <w:rsid w:val="307452A0"/>
    <w:rsid w:val="30934797"/>
    <w:rsid w:val="30D248C4"/>
    <w:rsid w:val="30D85D8C"/>
    <w:rsid w:val="313C479C"/>
    <w:rsid w:val="31431AC0"/>
    <w:rsid w:val="331C46E5"/>
    <w:rsid w:val="336F7BAD"/>
    <w:rsid w:val="33A6764B"/>
    <w:rsid w:val="33ED7D96"/>
    <w:rsid w:val="342576EC"/>
    <w:rsid w:val="353A0AC1"/>
    <w:rsid w:val="35B91BFA"/>
    <w:rsid w:val="364E429E"/>
    <w:rsid w:val="3664183D"/>
    <w:rsid w:val="3677282D"/>
    <w:rsid w:val="36942496"/>
    <w:rsid w:val="37171A59"/>
    <w:rsid w:val="37511864"/>
    <w:rsid w:val="37BB097F"/>
    <w:rsid w:val="37F60190"/>
    <w:rsid w:val="394268C0"/>
    <w:rsid w:val="3978558B"/>
    <w:rsid w:val="397D5E1D"/>
    <w:rsid w:val="399E4899"/>
    <w:rsid w:val="39F129E7"/>
    <w:rsid w:val="3A3A1E0D"/>
    <w:rsid w:val="3A462258"/>
    <w:rsid w:val="3A731FF4"/>
    <w:rsid w:val="3A952A86"/>
    <w:rsid w:val="3AA03155"/>
    <w:rsid w:val="3AF60FCA"/>
    <w:rsid w:val="3BB72D7A"/>
    <w:rsid w:val="3CFE6129"/>
    <w:rsid w:val="3D3A4986"/>
    <w:rsid w:val="3DB94686"/>
    <w:rsid w:val="3DDB0AFF"/>
    <w:rsid w:val="3E1F028F"/>
    <w:rsid w:val="3E927F56"/>
    <w:rsid w:val="3EDE489D"/>
    <w:rsid w:val="3F28765F"/>
    <w:rsid w:val="3F291E23"/>
    <w:rsid w:val="3F5F6A5C"/>
    <w:rsid w:val="3F9837CE"/>
    <w:rsid w:val="3FB0403C"/>
    <w:rsid w:val="3FE74A19"/>
    <w:rsid w:val="401A6419"/>
    <w:rsid w:val="408217AB"/>
    <w:rsid w:val="4086255F"/>
    <w:rsid w:val="40B65A7E"/>
    <w:rsid w:val="40B73125"/>
    <w:rsid w:val="40B80218"/>
    <w:rsid w:val="418F171E"/>
    <w:rsid w:val="4317076E"/>
    <w:rsid w:val="436F6FCB"/>
    <w:rsid w:val="43CF01FD"/>
    <w:rsid w:val="44722B80"/>
    <w:rsid w:val="44D62A52"/>
    <w:rsid w:val="453F5053"/>
    <w:rsid w:val="45874133"/>
    <w:rsid w:val="45E028BE"/>
    <w:rsid w:val="460B2C1A"/>
    <w:rsid w:val="463B12E7"/>
    <w:rsid w:val="468E1C38"/>
    <w:rsid w:val="46D8710D"/>
    <w:rsid w:val="473253BE"/>
    <w:rsid w:val="47FD5933"/>
    <w:rsid w:val="48E343A0"/>
    <w:rsid w:val="498E17AA"/>
    <w:rsid w:val="49C74B82"/>
    <w:rsid w:val="4A4E7053"/>
    <w:rsid w:val="4A7A77C5"/>
    <w:rsid w:val="4A850EF2"/>
    <w:rsid w:val="4A8860E2"/>
    <w:rsid w:val="4A920C35"/>
    <w:rsid w:val="4AAD4EFE"/>
    <w:rsid w:val="4AEE2AF4"/>
    <w:rsid w:val="4AF97BD7"/>
    <w:rsid w:val="4B0E6E46"/>
    <w:rsid w:val="4B7D7497"/>
    <w:rsid w:val="4BCD2D10"/>
    <w:rsid w:val="4BD003A1"/>
    <w:rsid w:val="4BE34E79"/>
    <w:rsid w:val="4CCA1708"/>
    <w:rsid w:val="4D2D0B64"/>
    <w:rsid w:val="4DC32A56"/>
    <w:rsid w:val="4E337202"/>
    <w:rsid w:val="4E735D35"/>
    <w:rsid w:val="4E983EF0"/>
    <w:rsid w:val="4F64559D"/>
    <w:rsid w:val="4F705222"/>
    <w:rsid w:val="4F7E2948"/>
    <w:rsid w:val="4FA303A5"/>
    <w:rsid w:val="4FB859DE"/>
    <w:rsid w:val="502E341E"/>
    <w:rsid w:val="51682201"/>
    <w:rsid w:val="51710E00"/>
    <w:rsid w:val="52C8110B"/>
    <w:rsid w:val="530F2CBE"/>
    <w:rsid w:val="541C62F3"/>
    <w:rsid w:val="54395185"/>
    <w:rsid w:val="54431969"/>
    <w:rsid w:val="5456025C"/>
    <w:rsid w:val="548E4F6F"/>
    <w:rsid w:val="54A658FB"/>
    <w:rsid w:val="54BC021C"/>
    <w:rsid w:val="54DE273B"/>
    <w:rsid w:val="56371957"/>
    <w:rsid w:val="56403CE3"/>
    <w:rsid w:val="57B62BD3"/>
    <w:rsid w:val="58220D05"/>
    <w:rsid w:val="58E2458F"/>
    <w:rsid w:val="59142CBA"/>
    <w:rsid w:val="598840E2"/>
    <w:rsid w:val="59A15DD7"/>
    <w:rsid w:val="5A59458D"/>
    <w:rsid w:val="5A617067"/>
    <w:rsid w:val="5AB447F4"/>
    <w:rsid w:val="5B99729D"/>
    <w:rsid w:val="5D690E56"/>
    <w:rsid w:val="5DF4339F"/>
    <w:rsid w:val="5E014BA4"/>
    <w:rsid w:val="5E1250B4"/>
    <w:rsid w:val="5E4704CF"/>
    <w:rsid w:val="5E6769B2"/>
    <w:rsid w:val="5EFA5C74"/>
    <w:rsid w:val="5F9A614C"/>
    <w:rsid w:val="5FAE0270"/>
    <w:rsid w:val="5FBE4EFD"/>
    <w:rsid w:val="60393B06"/>
    <w:rsid w:val="60D43CF3"/>
    <w:rsid w:val="610E5105"/>
    <w:rsid w:val="61570AAB"/>
    <w:rsid w:val="61856854"/>
    <w:rsid w:val="61EB64A9"/>
    <w:rsid w:val="62387314"/>
    <w:rsid w:val="629B6FF7"/>
    <w:rsid w:val="6396557D"/>
    <w:rsid w:val="63E51B36"/>
    <w:rsid w:val="644C1D5C"/>
    <w:rsid w:val="65BF6010"/>
    <w:rsid w:val="65E52C1F"/>
    <w:rsid w:val="661E4940"/>
    <w:rsid w:val="66793922"/>
    <w:rsid w:val="66B02DD8"/>
    <w:rsid w:val="66B36977"/>
    <w:rsid w:val="681D2992"/>
    <w:rsid w:val="694D1048"/>
    <w:rsid w:val="6A8E1D36"/>
    <w:rsid w:val="6B6C1B5F"/>
    <w:rsid w:val="6C2C0E5F"/>
    <w:rsid w:val="6CE71B7A"/>
    <w:rsid w:val="6D1F1562"/>
    <w:rsid w:val="6DD12CC4"/>
    <w:rsid w:val="6DFB45C6"/>
    <w:rsid w:val="6E643BE0"/>
    <w:rsid w:val="6E9726D2"/>
    <w:rsid w:val="6F4034DF"/>
    <w:rsid w:val="6F5A3ECC"/>
    <w:rsid w:val="6F821ECA"/>
    <w:rsid w:val="6FB439FB"/>
    <w:rsid w:val="6FF24F04"/>
    <w:rsid w:val="706B52E3"/>
    <w:rsid w:val="70B9558F"/>
    <w:rsid w:val="70BE1E3A"/>
    <w:rsid w:val="711219B7"/>
    <w:rsid w:val="71C720A8"/>
    <w:rsid w:val="720F320E"/>
    <w:rsid w:val="72133AEA"/>
    <w:rsid w:val="72332EBE"/>
    <w:rsid w:val="725837C6"/>
    <w:rsid w:val="734208FA"/>
    <w:rsid w:val="736B2D29"/>
    <w:rsid w:val="73BD15F1"/>
    <w:rsid w:val="73F21787"/>
    <w:rsid w:val="74354AD2"/>
    <w:rsid w:val="74C54857"/>
    <w:rsid w:val="74DA7335"/>
    <w:rsid w:val="74E560F5"/>
    <w:rsid w:val="74F01D90"/>
    <w:rsid w:val="75C140D4"/>
    <w:rsid w:val="75F37D10"/>
    <w:rsid w:val="75F8626E"/>
    <w:rsid w:val="76A45462"/>
    <w:rsid w:val="76B72967"/>
    <w:rsid w:val="777329A8"/>
    <w:rsid w:val="779F33DF"/>
    <w:rsid w:val="789C2F23"/>
    <w:rsid w:val="79914393"/>
    <w:rsid w:val="7A9169D0"/>
    <w:rsid w:val="7ADE7103"/>
    <w:rsid w:val="7B35089C"/>
    <w:rsid w:val="7BFB6284"/>
    <w:rsid w:val="7C150949"/>
    <w:rsid w:val="7C653158"/>
    <w:rsid w:val="7C771133"/>
    <w:rsid w:val="7CA623E4"/>
    <w:rsid w:val="7CA84A0B"/>
    <w:rsid w:val="7D0F68A8"/>
    <w:rsid w:val="7D2700B2"/>
    <w:rsid w:val="7D7C788D"/>
    <w:rsid w:val="7DB313E1"/>
    <w:rsid w:val="7DBA2DC1"/>
    <w:rsid w:val="7EA06560"/>
    <w:rsid w:val="7EA71F8D"/>
    <w:rsid w:val="7ED62D37"/>
    <w:rsid w:val="7F5B70D3"/>
    <w:rsid w:val="7F80048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jc w:val="left"/>
    </w:pPr>
    <w:rPr>
      <w:rFonts w:cs="Times New Roman"/>
      <w:kern w:val="0"/>
      <w:sz w:val="24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qFormat/>
    <w:uiPriority w:val="0"/>
    <w:rPr>
      <w:rFonts w:hint="eastAsia" w:ascii="微软雅黑" w:hAnsi="微软雅黑" w:eastAsia="微软雅黑" w:cs="微软雅黑"/>
      <w:color w:val="333333"/>
      <w:sz w:val="18"/>
      <w:szCs w:val="18"/>
      <w:u w:val="single"/>
    </w:rPr>
  </w:style>
  <w:style w:type="character" w:styleId="8">
    <w:name w:val="HTML Definition"/>
    <w:basedOn w:val="5"/>
    <w:qFormat/>
    <w:uiPriority w:val="0"/>
    <w:rPr>
      <w:i/>
    </w:rPr>
  </w:style>
  <w:style w:type="character" w:styleId="9">
    <w:name w:val="Hyperlink"/>
    <w:basedOn w:val="5"/>
    <w:qFormat/>
    <w:uiPriority w:val="0"/>
    <w:rPr>
      <w:rFonts w:hint="eastAsia" w:ascii="微软雅黑" w:hAnsi="微软雅黑" w:eastAsia="微软雅黑" w:cs="微软雅黑"/>
      <w:color w:val="333333"/>
      <w:sz w:val="18"/>
      <w:szCs w:val="18"/>
      <w:u w:val="single"/>
    </w:rPr>
  </w:style>
  <w:style w:type="character" w:styleId="10">
    <w:name w:val="HTML Code"/>
    <w:basedOn w:val="5"/>
    <w:qFormat/>
    <w:uiPriority w:val="0"/>
    <w:rPr>
      <w:rFonts w:ascii="monospace" w:hAnsi="monospace" w:eastAsia="monospace" w:cs="monospace"/>
      <w:sz w:val="21"/>
      <w:szCs w:val="21"/>
    </w:rPr>
  </w:style>
  <w:style w:type="character" w:styleId="11">
    <w:name w:val="HTML Keyboard"/>
    <w:basedOn w:val="5"/>
    <w:qFormat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2">
    <w:name w:val="HTML Sample"/>
    <w:basedOn w:val="5"/>
    <w:qFormat/>
    <w:uiPriority w:val="0"/>
    <w:rPr>
      <w:rFonts w:hint="default" w:ascii="monospace" w:hAnsi="monospace" w:eastAsia="monospace" w:cs="monospace"/>
      <w:sz w:val="21"/>
      <w:szCs w:val="21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10</Pages>
  <Words>1194</Words>
  <Characters>6810</Characters>
  <Lines>56</Lines>
  <Paragraphs>15</Paragraphs>
  <ScaleCrop>false</ScaleCrop>
  <LinksUpToDate>false</LinksUpToDate>
  <CharactersWithSpaces>7989</CharactersWithSpaces>
  <Application>WPS Office_10.1.0.5973_F1E327BC-269C-435d-A152-05C5408002CA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2016-07-22T07:47:00Z</dcterms:created>
  <dc:creator>Administrator</dc:creator>
  <cp:lastModifiedBy>Administrator</cp:lastModifiedBy>
  <cp:lastPrinted>2016-09-26T02:43:00Z</cp:lastPrinted>
  <dcterms:modified xsi:type="dcterms:W3CDTF">2016-10-26T01:15:25Z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