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720" w:firstLineChars="200"/>
        <w:jc w:val="center"/>
        <w:textAlignment w:val="auto"/>
        <w:outlineLvl w:val="2"/>
        <w:rPr>
          <w:rFonts w:hint="eastAsia" w:eastAsia="仿宋" w:cs="Times New Roman" w:asciiTheme="majorEastAsia" w:hAnsiTheme="majorEastAsia"/>
          <w:sz w:val="36"/>
          <w:szCs w:val="36"/>
        </w:rPr>
      </w:pPr>
      <w:r>
        <w:rPr>
          <w:rFonts w:hint="eastAsia" w:eastAsia="仿宋" w:cs="Times New Roman" w:asciiTheme="majorEastAsia" w:hAnsiTheme="majorEastAsia"/>
          <w:sz w:val="36"/>
          <w:szCs w:val="36"/>
        </w:rPr>
        <w:t>南通大学</w:t>
      </w:r>
      <w:r>
        <w:rPr>
          <w:rFonts w:hint="eastAsia" w:eastAsia="仿宋" w:cs="Times New Roman" w:asciiTheme="majorEastAsia" w:hAnsiTheme="majorEastAsia"/>
          <w:sz w:val="36"/>
          <w:szCs w:val="36"/>
          <w:lang w:eastAsia="zh-CN"/>
        </w:rPr>
        <w:t>驾驶培训服务报名点</w:t>
      </w:r>
      <w:r>
        <w:rPr>
          <w:rFonts w:hint="eastAsia" w:eastAsia="仿宋" w:cs="Times New Roman" w:asciiTheme="majorEastAsia" w:hAnsiTheme="majorEastAsia"/>
          <w:sz w:val="36"/>
          <w:szCs w:val="36"/>
        </w:rPr>
        <w:t>招标公告</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720" w:firstLineChars="200"/>
        <w:jc w:val="center"/>
        <w:textAlignment w:val="auto"/>
        <w:outlineLvl w:val="2"/>
        <w:rPr>
          <w:rFonts w:hint="eastAsia" w:eastAsia="仿宋" w:cs="Times New Roman" w:asciiTheme="majorEastAsia" w:hAnsiTheme="majorEastAsia"/>
          <w:sz w:val="36"/>
          <w:szCs w:val="36"/>
        </w:rPr>
      </w:pPr>
    </w:p>
    <w:p>
      <w:pPr>
        <w:keepNext w:val="0"/>
        <w:keepLines w:val="0"/>
        <w:pageBreakBefore w:val="0"/>
        <w:widowControl w:val="0"/>
        <w:kinsoku/>
        <w:wordWrap/>
        <w:overflowPunct/>
        <w:topLinePunct w:val="0"/>
        <w:autoSpaceDE/>
        <w:autoSpaceDN/>
        <w:bidi w:val="0"/>
        <w:adjustRightInd/>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为方便学生学习驾驶，我校需引进</w:t>
      </w:r>
      <w:r>
        <w:rPr>
          <w:rFonts w:hint="eastAsia" w:eastAsia="仿宋" w:asciiTheme="majorEastAsia" w:hAnsiTheme="majorEastAsia"/>
          <w:sz w:val="30"/>
          <w:szCs w:val="24"/>
        </w:rPr>
        <w:t>汽车驾驶培训</w:t>
      </w:r>
      <w:r>
        <w:rPr>
          <w:rFonts w:hint="eastAsia" w:eastAsia="仿宋" w:asciiTheme="majorEastAsia" w:hAnsiTheme="majorEastAsia"/>
          <w:sz w:val="30"/>
          <w:szCs w:val="24"/>
          <w:lang w:eastAsia="zh-CN"/>
        </w:rPr>
        <w:t>机构在后勤保障部交通服务中心设立驾培服务报名点。经过资格预审，现</w:t>
      </w:r>
      <w:r>
        <w:rPr>
          <w:rFonts w:hint="eastAsia" w:eastAsia="仿宋" w:asciiTheme="majorEastAsia" w:hAnsiTheme="majorEastAsia"/>
          <w:sz w:val="30"/>
          <w:szCs w:val="24"/>
        </w:rPr>
        <w:t>公开招标，诚邀</w:t>
      </w:r>
      <w:r>
        <w:rPr>
          <w:rFonts w:hint="eastAsia" w:eastAsia="仿宋" w:asciiTheme="majorEastAsia" w:hAnsiTheme="majorEastAsia"/>
          <w:sz w:val="30"/>
          <w:szCs w:val="24"/>
          <w:lang w:eastAsia="zh-CN"/>
        </w:rPr>
        <w:t>资格预审合格单位参加招投标</w:t>
      </w:r>
      <w:r>
        <w:rPr>
          <w:rFonts w:hint="eastAsia" w:eastAsia="仿宋" w:asciiTheme="majorEastAsia" w:hAnsiTheme="majorEastAsia"/>
          <w:sz w:val="30"/>
          <w:szCs w:val="24"/>
        </w:rPr>
        <w:t>。具体事项如下：</w:t>
      </w:r>
    </w:p>
    <w:p>
      <w:pPr>
        <w:keepNext w:val="0"/>
        <w:keepLines w:val="0"/>
        <w:pageBreakBefore w:val="0"/>
        <w:widowControl w:val="0"/>
        <w:tabs>
          <w:tab w:val="center" w:pos="4393"/>
        </w:tabs>
        <w:kinsoku/>
        <w:wordWrap/>
        <w:overflowPunct/>
        <w:topLinePunct w:val="0"/>
        <w:autoSpaceDE/>
        <w:autoSpaceDN/>
        <w:bidi w:val="0"/>
        <w:adjustRightInd/>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一、招标人：南通大学</w:t>
      </w:r>
      <w:r>
        <w:rPr>
          <w:rFonts w:eastAsia="仿宋" w:asciiTheme="majorEastAsia" w:hAnsiTheme="majorEastAsia"/>
          <w:sz w:val="30"/>
          <w:szCs w:val="24"/>
        </w:rPr>
        <w:tab/>
      </w:r>
    </w:p>
    <w:p>
      <w:pPr>
        <w:keepNext w:val="0"/>
        <w:keepLines w:val="0"/>
        <w:pageBreakBefore w:val="0"/>
        <w:widowControl w:val="0"/>
        <w:kinsoku/>
        <w:wordWrap/>
        <w:overflowPunct/>
        <w:topLinePunct w:val="0"/>
        <w:autoSpaceDE/>
        <w:autoSpaceDN/>
        <w:bidi w:val="0"/>
        <w:adjustRightInd/>
        <w:spacing w:line="360" w:lineRule="exact"/>
        <w:ind w:right="0" w:rightChars="0" w:firstLine="600" w:firstLineChars="200"/>
        <w:textAlignment w:val="auto"/>
        <w:rPr>
          <w:rFonts w:hint="eastAsia" w:eastAsia="仿宋" w:asciiTheme="majorEastAsia" w:hAnsiTheme="majorEastAsia"/>
          <w:sz w:val="30"/>
          <w:szCs w:val="24"/>
          <w:lang w:eastAsia="zh-CN"/>
        </w:rPr>
      </w:pPr>
      <w:r>
        <w:rPr>
          <w:rFonts w:hint="eastAsia" w:eastAsia="仿宋" w:asciiTheme="majorEastAsia" w:hAnsiTheme="majorEastAsia"/>
          <w:sz w:val="30"/>
          <w:szCs w:val="24"/>
        </w:rPr>
        <w:t>二、招标项目：</w:t>
      </w:r>
      <w:r>
        <w:rPr>
          <w:rFonts w:hint="eastAsia" w:eastAsia="仿宋" w:asciiTheme="majorEastAsia" w:hAnsiTheme="majorEastAsia"/>
          <w:sz w:val="30"/>
          <w:szCs w:val="24"/>
          <w:lang w:eastAsia="zh-CN"/>
        </w:rPr>
        <w:t>引进</w:t>
      </w:r>
      <w:r>
        <w:rPr>
          <w:rFonts w:hint="eastAsia" w:eastAsia="仿宋" w:asciiTheme="majorEastAsia" w:hAnsiTheme="majorEastAsia"/>
          <w:sz w:val="30"/>
          <w:szCs w:val="24"/>
          <w:lang w:val="en-US" w:eastAsia="zh-CN"/>
        </w:rPr>
        <w:t>3家驾驶</w:t>
      </w:r>
      <w:r>
        <w:rPr>
          <w:rFonts w:hint="eastAsia" w:eastAsia="仿宋" w:asciiTheme="majorEastAsia" w:hAnsiTheme="majorEastAsia"/>
          <w:sz w:val="30"/>
          <w:szCs w:val="24"/>
        </w:rPr>
        <w:t>培训</w:t>
      </w:r>
      <w:r>
        <w:rPr>
          <w:rFonts w:hint="eastAsia" w:eastAsia="仿宋" w:asciiTheme="majorEastAsia" w:hAnsiTheme="majorEastAsia"/>
          <w:sz w:val="30"/>
          <w:szCs w:val="24"/>
          <w:lang w:eastAsia="zh-CN"/>
        </w:rPr>
        <w:t>机构在我校设立报名点</w:t>
      </w:r>
    </w:p>
    <w:p>
      <w:pPr>
        <w:pStyle w:val="10"/>
        <w:keepNext w:val="0"/>
        <w:keepLines w:val="0"/>
        <w:pageBreakBefore w:val="0"/>
        <w:widowControl w:val="0"/>
        <w:kinsoku/>
        <w:wordWrap/>
        <w:overflowPunct/>
        <w:topLinePunct w:val="0"/>
        <w:bidi w:val="0"/>
        <w:spacing w:line="360" w:lineRule="exact"/>
        <w:ind w:firstLine="600"/>
        <w:textAlignment w:val="auto"/>
        <w:outlineLvl w:val="9"/>
        <w:rPr>
          <w:rFonts w:hint="eastAsia" w:eastAsia="仿宋" w:asciiTheme="majorEastAsia" w:hAnsiTheme="majorEastAsia"/>
          <w:sz w:val="30"/>
          <w:szCs w:val="24"/>
          <w:lang w:val="en-US" w:eastAsia="zh-CN"/>
        </w:rPr>
      </w:pPr>
      <w:r>
        <w:rPr>
          <w:rFonts w:hint="eastAsia" w:eastAsia="仿宋" w:asciiTheme="majorEastAsia" w:hAnsiTheme="majorEastAsia"/>
          <w:sz w:val="30"/>
          <w:szCs w:val="24"/>
          <w:lang w:eastAsia="zh-CN"/>
        </w:rPr>
        <w:t>三、</w:t>
      </w:r>
      <w:r>
        <w:rPr>
          <w:rFonts w:hint="eastAsia" w:eastAsia="仿宋" w:asciiTheme="majorEastAsia" w:hAnsiTheme="majorEastAsia"/>
          <w:sz w:val="30"/>
          <w:szCs w:val="24"/>
        </w:rPr>
        <w:t>招标内容：</w:t>
      </w:r>
      <w:r>
        <w:rPr>
          <w:rFonts w:hint="eastAsia" w:ascii="仿宋" w:hAnsi="仿宋" w:eastAsia="仿宋"/>
          <w:sz w:val="30"/>
          <w:szCs w:val="30"/>
          <w:lang w:eastAsia="zh-CN"/>
        </w:rPr>
        <w:t>南通大学在校学生约</w:t>
      </w:r>
      <w:r>
        <w:rPr>
          <w:rFonts w:hint="eastAsia" w:ascii="仿宋" w:hAnsi="仿宋" w:eastAsia="仿宋"/>
          <w:sz w:val="30"/>
          <w:szCs w:val="30"/>
          <w:lang w:val="en-US" w:eastAsia="zh-CN"/>
        </w:rPr>
        <w:t>3.9万人，主校区约2.35万人，钟秀校区约0.85万人，启秀校区约0.45万人，启东校区约0.25万人。在主校区设驾培服务报名点3个。</w:t>
      </w:r>
    </w:p>
    <w:p>
      <w:pPr>
        <w:pStyle w:val="10"/>
        <w:keepNext w:val="0"/>
        <w:keepLines w:val="0"/>
        <w:pageBreakBefore w:val="0"/>
        <w:widowControl w:val="0"/>
        <w:numPr>
          <w:ilvl w:val="0"/>
          <w:numId w:val="0"/>
        </w:numPr>
        <w:kinsoku/>
        <w:wordWrap/>
        <w:overflowPunct/>
        <w:topLinePunct w:val="0"/>
        <w:autoSpaceDE/>
        <w:autoSpaceDN/>
        <w:bidi w:val="0"/>
        <w:adjustRightInd/>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四、</w:t>
      </w:r>
      <w:r>
        <w:rPr>
          <w:rFonts w:hint="eastAsia" w:eastAsia="仿宋" w:asciiTheme="majorEastAsia" w:hAnsiTheme="majorEastAsia"/>
          <w:sz w:val="30"/>
          <w:szCs w:val="24"/>
        </w:rPr>
        <w:t>招标编号：</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eastAsia="仿宋" w:asciiTheme="majorEastAsia" w:hAnsiTheme="majorEastAsia"/>
          <w:sz w:val="30"/>
          <w:szCs w:val="24"/>
          <w:lang w:eastAsia="zh-CN"/>
        </w:rPr>
      </w:pPr>
      <w:r>
        <w:rPr>
          <w:rFonts w:hint="eastAsia" w:eastAsia="仿宋" w:asciiTheme="majorEastAsia" w:hAnsiTheme="majorEastAsia"/>
          <w:sz w:val="30"/>
          <w:szCs w:val="24"/>
          <w:lang w:eastAsia="zh-CN"/>
        </w:rPr>
        <w:t>五、资格条件</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lang w:eastAsia="zh-CN"/>
        </w:rPr>
      </w:pPr>
      <w:r>
        <w:rPr>
          <w:rFonts w:hint="eastAsia" w:ascii="宋体" w:hAnsi="宋体" w:eastAsia="仿宋"/>
          <w:sz w:val="30"/>
          <w:szCs w:val="30"/>
        </w:rPr>
        <w:t>1.</w:t>
      </w:r>
      <w:r>
        <w:rPr>
          <w:rFonts w:hint="eastAsia" w:ascii="仿宋" w:hAnsi="仿宋" w:eastAsia="仿宋"/>
          <w:sz w:val="30"/>
          <w:szCs w:val="30"/>
        </w:rPr>
        <w:t>具备招标项目服务能力的独立法人单位，</w:t>
      </w:r>
      <w:r>
        <w:rPr>
          <w:rFonts w:hint="eastAsia" w:ascii="仿宋" w:hAnsi="仿宋" w:eastAsia="仿宋"/>
          <w:sz w:val="30"/>
          <w:szCs w:val="30"/>
          <w:lang w:eastAsia="zh-CN"/>
        </w:rPr>
        <w:t>提供：</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lang w:eastAsia="zh-CN"/>
        </w:rPr>
      </w:pPr>
      <w:r>
        <w:rPr>
          <w:rFonts w:hint="eastAsia" w:ascii="仿宋" w:hAnsi="仿宋" w:eastAsia="仿宋"/>
          <w:sz w:val="30"/>
          <w:szCs w:val="30"/>
          <w:lang w:eastAsia="zh-CN"/>
        </w:rPr>
        <w:t>（</w:t>
      </w:r>
      <w:r>
        <w:rPr>
          <w:rFonts w:hint="eastAsia" w:ascii="仿宋" w:hAnsi="仿宋" w:eastAsia="仿宋"/>
          <w:sz w:val="30"/>
          <w:szCs w:val="30"/>
          <w:lang w:val="en-US" w:eastAsia="zh-CN"/>
        </w:rPr>
        <w:t>1</w:t>
      </w:r>
      <w:r>
        <w:rPr>
          <w:rFonts w:hint="eastAsia" w:ascii="仿宋" w:hAnsi="仿宋" w:eastAsia="仿宋"/>
          <w:sz w:val="30"/>
          <w:szCs w:val="30"/>
          <w:lang w:eastAsia="zh-CN"/>
        </w:rPr>
        <w:t>）</w:t>
      </w:r>
      <w:r>
        <w:rPr>
          <w:rFonts w:hint="eastAsia" w:ascii="仿宋" w:hAnsi="仿宋" w:eastAsia="仿宋"/>
          <w:sz w:val="30"/>
          <w:szCs w:val="30"/>
        </w:rPr>
        <w:t>营业执照</w:t>
      </w:r>
      <w:r>
        <w:rPr>
          <w:rFonts w:hint="eastAsia" w:ascii="仿宋" w:hAnsi="仿宋" w:eastAsia="仿宋"/>
          <w:sz w:val="30"/>
          <w:szCs w:val="30"/>
          <w:lang w:eastAsia="zh-CN"/>
        </w:rPr>
        <w:t>；</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rPr>
      </w:pPr>
      <w:r>
        <w:rPr>
          <w:rFonts w:hint="eastAsia" w:ascii="仿宋" w:hAnsi="仿宋" w:eastAsia="仿宋"/>
          <w:sz w:val="30"/>
          <w:szCs w:val="30"/>
          <w:lang w:eastAsia="zh-CN"/>
        </w:rPr>
        <w:t>（</w:t>
      </w:r>
      <w:r>
        <w:rPr>
          <w:rFonts w:hint="eastAsia" w:ascii="仿宋" w:hAnsi="仿宋" w:eastAsia="仿宋"/>
          <w:sz w:val="30"/>
          <w:szCs w:val="30"/>
          <w:lang w:val="en-US" w:eastAsia="zh-CN"/>
        </w:rPr>
        <w:t>2</w:t>
      </w:r>
      <w:r>
        <w:rPr>
          <w:rFonts w:hint="eastAsia" w:ascii="仿宋" w:hAnsi="仿宋" w:eastAsia="仿宋"/>
          <w:sz w:val="30"/>
          <w:szCs w:val="30"/>
          <w:lang w:eastAsia="zh-CN"/>
        </w:rPr>
        <w:t>）</w:t>
      </w:r>
      <w:r>
        <w:rPr>
          <w:rFonts w:hint="eastAsia" w:ascii="仿宋" w:hAnsi="仿宋" w:eastAsia="仿宋"/>
          <w:sz w:val="30"/>
          <w:szCs w:val="30"/>
        </w:rPr>
        <w:t>道路运输经营许可证；</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lang w:eastAsia="zh-CN"/>
        </w:rPr>
      </w:pPr>
      <w:r>
        <w:rPr>
          <w:rFonts w:hint="eastAsia" w:ascii="仿宋" w:hAnsi="仿宋" w:eastAsia="仿宋"/>
          <w:sz w:val="30"/>
          <w:szCs w:val="30"/>
          <w:lang w:eastAsia="zh-CN"/>
        </w:rPr>
        <w:t>（</w:t>
      </w:r>
      <w:r>
        <w:rPr>
          <w:rFonts w:hint="eastAsia" w:ascii="仿宋" w:hAnsi="仿宋" w:eastAsia="仿宋"/>
          <w:sz w:val="30"/>
          <w:szCs w:val="30"/>
          <w:lang w:val="en-US" w:eastAsia="zh-CN"/>
        </w:rPr>
        <w:t>3</w:t>
      </w:r>
      <w:r>
        <w:rPr>
          <w:rFonts w:hint="eastAsia" w:ascii="仿宋" w:hAnsi="仿宋" w:eastAsia="仿宋"/>
          <w:sz w:val="30"/>
          <w:szCs w:val="30"/>
          <w:lang w:eastAsia="zh-CN"/>
        </w:rPr>
        <w:t>）</w:t>
      </w:r>
      <w:r>
        <w:rPr>
          <w:rFonts w:hint="eastAsia" w:ascii="仿宋" w:hAnsi="仿宋" w:eastAsia="仿宋"/>
          <w:sz w:val="30"/>
          <w:szCs w:val="30"/>
        </w:rPr>
        <w:t>提供法人身份证</w:t>
      </w:r>
      <w:r>
        <w:rPr>
          <w:rFonts w:hint="eastAsia" w:ascii="仿宋" w:hAnsi="仿宋" w:eastAsia="仿宋"/>
          <w:sz w:val="30"/>
          <w:szCs w:val="30"/>
          <w:lang w:eastAsia="zh-CN"/>
        </w:rPr>
        <w:t>复印件及</w:t>
      </w:r>
      <w:r>
        <w:rPr>
          <w:rFonts w:hint="eastAsia" w:ascii="仿宋" w:hAnsi="仿宋" w:eastAsia="仿宋"/>
          <w:sz w:val="30"/>
          <w:szCs w:val="30"/>
        </w:rPr>
        <w:t>授权书</w:t>
      </w:r>
      <w:r>
        <w:rPr>
          <w:rFonts w:hint="eastAsia" w:ascii="仿宋" w:hAnsi="仿宋" w:eastAsia="仿宋"/>
          <w:sz w:val="30"/>
          <w:szCs w:val="30"/>
          <w:lang w:eastAsia="zh-CN"/>
        </w:rPr>
        <w:t>；</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lang w:eastAsia="zh-CN"/>
        </w:rPr>
      </w:pPr>
      <w:r>
        <w:rPr>
          <w:rFonts w:hint="eastAsia" w:ascii="仿宋" w:hAnsi="仿宋" w:eastAsia="仿宋"/>
          <w:sz w:val="30"/>
          <w:szCs w:val="30"/>
          <w:lang w:eastAsia="zh-CN"/>
        </w:rPr>
        <w:t>（</w:t>
      </w:r>
      <w:r>
        <w:rPr>
          <w:rFonts w:hint="eastAsia" w:ascii="仿宋" w:hAnsi="仿宋" w:eastAsia="仿宋"/>
          <w:sz w:val="30"/>
          <w:szCs w:val="30"/>
          <w:lang w:val="en-US" w:eastAsia="zh-CN"/>
        </w:rPr>
        <w:t>4</w:t>
      </w:r>
      <w:r>
        <w:rPr>
          <w:rFonts w:hint="eastAsia" w:ascii="仿宋" w:hAnsi="仿宋" w:eastAsia="仿宋"/>
          <w:sz w:val="30"/>
          <w:szCs w:val="30"/>
          <w:lang w:eastAsia="zh-CN"/>
        </w:rPr>
        <w:t>）被授权人身份证复印件；</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宋体" w:hAnsi="宋体" w:eastAsia="仿宋"/>
          <w:sz w:val="30"/>
          <w:szCs w:val="30"/>
        </w:rPr>
      </w:pPr>
      <w:r>
        <w:rPr>
          <w:rFonts w:hint="eastAsia" w:ascii="宋体" w:hAnsi="宋体" w:eastAsia="仿宋"/>
          <w:sz w:val="30"/>
          <w:szCs w:val="30"/>
        </w:rPr>
        <w:t>2.</w:t>
      </w:r>
      <w:r>
        <w:rPr>
          <w:rFonts w:hint="eastAsia" w:ascii="仿宋" w:hAnsi="仿宋" w:eastAsia="仿宋"/>
          <w:sz w:val="30"/>
          <w:szCs w:val="30"/>
        </w:rPr>
        <w:t>具有履行合同的服务能力。</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宋体" w:hAnsi="宋体" w:eastAsia="仿宋"/>
          <w:sz w:val="30"/>
          <w:szCs w:val="30"/>
        </w:rPr>
      </w:pPr>
      <w:r>
        <w:rPr>
          <w:rFonts w:hint="eastAsia" w:ascii="仿宋" w:hAnsi="仿宋" w:eastAsia="仿宋"/>
          <w:sz w:val="30"/>
          <w:szCs w:val="30"/>
        </w:rPr>
        <w:t>（</w:t>
      </w:r>
      <w:r>
        <w:rPr>
          <w:rFonts w:hint="eastAsia" w:ascii="宋体" w:hAnsi="宋体" w:eastAsia="仿宋"/>
          <w:sz w:val="30"/>
          <w:szCs w:val="30"/>
        </w:rPr>
        <w:t>1</w:t>
      </w:r>
      <w:r>
        <w:rPr>
          <w:rFonts w:hint="eastAsia" w:ascii="仿宋" w:hAnsi="仿宋" w:eastAsia="仿宋"/>
          <w:sz w:val="30"/>
          <w:szCs w:val="30"/>
        </w:rPr>
        <w:t>）所必需的教学设施设备、固定的办公及教学场所，提供场地</w:t>
      </w:r>
      <w:r>
        <w:rPr>
          <w:rFonts w:hint="eastAsia" w:ascii="仿宋" w:hAnsi="仿宋" w:eastAsia="仿宋"/>
          <w:sz w:val="30"/>
          <w:szCs w:val="30"/>
          <w:lang w:eastAsia="zh-CN"/>
        </w:rPr>
        <w:t>产权证或</w:t>
      </w:r>
      <w:r>
        <w:rPr>
          <w:rFonts w:hint="eastAsia" w:ascii="仿宋" w:hAnsi="仿宋" w:eastAsia="仿宋"/>
          <w:sz w:val="30"/>
          <w:szCs w:val="30"/>
        </w:rPr>
        <w:t>租用合同，具备</w:t>
      </w:r>
      <w:r>
        <w:rPr>
          <w:rFonts w:hint="eastAsia" w:ascii="仿宋" w:hAnsi="仿宋" w:eastAsia="仿宋"/>
          <w:sz w:val="30"/>
          <w:szCs w:val="30"/>
          <w:lang w:eastAsia="zh-CN"/>
        </w:rPr>
        <w:t>本单位</w:t>
      </w:r>
      <w:r>
        <w:rPr>
          <w:rFonts w:hint="eastAsia" w:ascii="仿宋" w:hAnsi="仿宋" w:eastAsia="仿宋"/>
          <w:sz w:val="30"/>
          <w:szCs w:val="30"/>
        </w:rPr>
        <w:t>教练车</w:t>
      </w:r>
      <w:r>
        <w:rPr>
          <w:rFonts w:hint="eastAsia" w:ascii="宋体" w:hAnsi="宋体" w:eastAsia="仿宋"/>
          <w:sz w:val="30"/>
          <w:szCs w:val="30"/>
        </w:rPr>
        <w:t>30</w:t>
      </w:r>
      <w:r>
        <w:rPr>
          <w:rFonts w:hint="eastAsia" w:ascii="仿宋" w:hAnsi="仿宋" w:eastAsia="仿宋"/>
          <w:sz w:val="30"/>
          <w:szCs w:val="30"/>
        </w:rPr>
        <w:t>辆以上。</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宋体" w:hAnsi="宋体" w:eastAsia="仿宋"/>
          <w:sz w:val="30"/>
          <w:szCs w:val="30"/>
        </w:rPr>
      </w:pPr>
      <w:r>
        <w:rPr>
          <w:rFonts w:hint="eastAsia" w:ascii="仿宋" w:hAnsi="仿宋" w:eastAsia="仿宋"/>
          <w:sz w:val="30"/>
          <w:szCs w:val="30"/>
        </w:rPr>
        <w:t>（</w:t>
      </w:r>
      <w:r>
        <w:rPr>
          <w:rFonts w:hint="eastAsia" w:ascii="宋体" w:hAnsi="宋体" w:eastAsia="仿宋"/>
          <w:sz w:val="30"/>
          <w:szCs w:val="30"/>
        </w:rPr>
        <w:t>2</w:t>
      </w:r>
      <w:r>
        <w:rPr>
          <w:rFonts w:hint="eastAsia" w:ascii="仿宋" w:hAnsi="仿宋" w:eastAsia="仿宋"/>
          <w:sz w:val="30"/>
          <w:szCs w:val="30"/>
        </w:rPr>
        <w:t>）具有专业教学人员</w:t>
      </w:r>
      <w:r>
        <w:rPr>
          <w:rFonts w:hint="eastAsia" w:ascii="宋体" w:hAnsi="宋体" w:eastAsia="仿宋"/>
          <w:sz w:val="30"/>
          <w:szCs w:val="30"/>
        </w:rPr>
        <w:t>35</w:t>
      </w:r>
      <w:r>
        <w:rPr>
          <w:rFonts w:hint="eastAsia" w:ascii="仿宋" w:hAnsi="仿宋" w:eastAsia="仿宋"/>
          <w:sz w:val="30"/>
          <w:szCs w:val="30"/>
        </w:rPr>
        <w:t>人以上</w:t>
      </w:r>
      <w:r>
        <w:rPr>
          <w:rFonts w:hint="eastAsia" w:ascii="仿宋" w:hAnsi="仿宋" w:eastAsia="仿宋"/>
          <w:sz w:val="30"/>
          <w:szCs w:val="30"/>
          <w:lang w:val="en-US" w:eastAsia="zh-CN"/>
        </w:rPr>
        <w:t>,提供社保证明或用工合同</w:t>
      </w:r>
      <w:r>
        <w:rPr>
          <w:rFonts w:hint="eastAsia" w:ascii="仿宋" w:hAnsi="仿宋" w:eastAsia="仿宋"/>
          <w:sz w:val="30"/>
          <w:szCs w:val="30"/>
        </w:rPr>
        <w:t>。</w:t>
      </w:r>
    </w:p>
    <w:p>
      <w:pPr>
        <w:keepNext w:val="0"/>
        <w:keepLines w:val="0"/>
        <w:pageBreakBefore w:val="0"/>
        <w:widowControl w:val="0"/>
        <w:kinsoku/>
        <w:wordWrap/>
        <w:overflowPunct/>
        <w:topLinePunct w:val="0"/>
        <w:bidi w:val="0"/>
        <w:snapToGrid w:val="0"/>
        <w:spacing w:line="320" w:lineRule="exact"/>
        <w:ind w:firstLine="600" w:firstLineChars="200"/>
        <w:textAlignment w:val="auto"/>
        <w:outlineLvl w:val="9"/>
        <w:rPr>
          <w:rFonts w:hint="eastAsia" w:ascii="宋体" w:hAnsi="宋体" w:eastAsia="仿宋"/>
          <w:sz w:val="30"/>
          <w:szCs w:val="30"/>
        </w:rPr>
      </w:pPr>
      <w:r>
        <w:rPr>
          <w:rFonts w:hint="eastAsia" w:ascii="宋体" w:hAnsi="宋体" w:eastAsia="仿宋"/>
          <w:sz w:val="30"/>
          <w:szCs w:val="30"/>
        </w:rPr>
        <w:t>3.提供</w:t>
      </w:r>
      <w:r>
        <w:rPr>
          <w:rFonts w:hint="eastAsia" w:ascii="宋体" w:hAnsi="宋体" w:eastAsia="仿宋"/>
          <w:sz w:val="30"/>
          <w:szCs w:val="30"/>
          <w:lang w:val="en-US" w:eastAsia="zh-CN"/>
        </w:rPr>
        <w:t>2016年度或2017年度</w:t>
      </w:r>
      <w:r>
        <w:rPr>
          <w:rFonts w:hint="eastAsia" w:ascii="宋体" w:hAnsi="宋体" w:eastAsia="仿宋"/>
          <w:sz w:val="30"/>
          <w:szCs w:val="30"/>
        </w:rPr>
        <w:t>财务审计报告或银行资信证明。</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仿宋" w:hAnsi="仿宋" w:eastAsia="仿宋"/>
          <w:sz w:val="30"/>
          <w:szCs w:val="30"/>
        </w:rPr>
      </w:pPr>
      <w:r>
        <w:rPr>
          <w:rFonts w:hint="eastAsia" w:ascii="宋体" w:hAnsi="宋体" w:eastAsia="仿宋"/>
          <w:sz w:val="30"/>
          <w:szCs w:val="30"/>
        </w:rPr>
        <w:t>4.</w:t>
      </w:r>
      <w:r>
        <w:rPr>
          <w:rFonts w:hint="eastAsia" w:ascii="仿宋" w:hAnsi="仿宋" w:eastAsia="仿宋"/>
          <w:sz w:val="30"/>
          <w:szCs w:val="30"/>
        </w:rPr>
        <w:t>不接受联合体投标。</w:t>
      </w:r>
    </w:p>
    <w:p>
      <w:pPr>
        <w:pStyle w:val="10"/>
        <w:keepNext w:val="0"/>
        <w:keepLines w:val="0"/>
        <w:pageBreakBefore w:val="0"/>
        <w:widowControl w:val="0"/>
        <w:kinsoku/>
        <w:wordWrap/>
        <w:overflowPunct/>
        <w:topLinePunct w:val="0"/>
        <w:autoSpaceDE w:val="0"/>
        <w:autoSpaceDN w:val="0"/>
        <w:bidi w:val="0"/>
        <w:adjustRightInd w:val="0"/>
        <w:spacing w:line="320" w:lineRule="exact"/>
        <w:ind w:firstLine="600"/>
        <w:textAlignment w:val="auto"/>
        <w:outlineLvl w:val="9"/>
        <w:rPr>
          <w:rFonts w:hint="eastAsia" w:ascii="宋体" w:hAnsi="宋体" w:eastAsia="仿宋"/>
          <w:sz w:val="30"/>
          <w:szCs w:val="30"/>
          <w:lang w:val="en-US"/>
        </w:rPr>
      </w:pPr>
      <w:r>
        <w:rPr>
          <w:rFonts w:hint="eastAsia" w:ascii="仿宋" w:hAnsi="仿宋" w:eastAsia="仿宋"/>
          <w:sz w:val="30"/>
          <w:szCs w:val="30"/>
          <w:lang w:val="en-US" w:eastAsia="zh-CN"/>
        </w:rPr>
        <w:t>5.</w:t>
      </w:r>
      <w:r>
        <w:rPr>
          <w:rFonts w:hint="eastAsia" w:ascii="仿宋" w:hAnsi="仿宋" w:eastAsia="仿宋"/>
          <w:sz w:val="30"/>
          <w:szCs w:val="30"/>
          <w:lang w:eastAsia="zh-CN"/>
        </w:rPr>
        <w:t>单位法人、被授权人近</w:t>
      </w:r>
      <w:r>
        <w:rPr>
          <w:rFonts w:hint="eastAsia" w:ascii="仿宋" w:hAnsi="仿宋" w:eastAsia="仿宋"/>
          <w:sz w:val="30"/>
          <w:szCs w:val="30"/>
          <w:lang w:val="en-US" w:eastAsia="zh-CN"/>
        </w:rPr>
        <w:t>3年无行贿犯罪证明。</w:t>
      </w:r>
    </w:p>
    <w:p>
      <w:pPr>
        <w:keepNext w:val="0"/>
        <w:keepLines w:val="0"/>
        <w:pageBreakBefore w:val="0"/>
        <w:widowControl w:val="0"/>
        <w:kinsoku/>
        <w:wordWrap/>
        <w:overflowPunct/>
        <w:topLinePunct w:val="0"/>
        <w:bidi w:val="0"/>
        <w:snapToGrid w:val="0"/>
        <w:spacing w:line="320" w:lineRule="exact"/>
        <w:ind w:firstLine="600" w:firstLineChars="200"/>
        <w:textAlignment w:val="auto"/>
        <w:outlineLvl w:val="9"/>
        <w:rPr>
          <w:rFonts w:hint="eastAsia" w:ascii="仿宋" w:hAnsi="仿宋" w:eastAsia="仿宋"/>
          <w:sz w:val="30"/>
          <w:szCs w:val="30"/>
          <w:lang w:val="en-US" w:eastAsia="zh-CN"/>
        </w:rPr>
      </w:pPr>
    </w:p>
    <w:p>
      <w:pPr>
        <w:keepNext w:val="0"/>
        <w:keepLines w:val="0"/>
        <w:pageBreakBefore w:val="0"/>
        <w:widowControl w:val="0"/>
        <w:kinsoku/>
        <w:wordWrap/>
        <w:overflowPunct/>
        <w:topLinePunct w:val="0"/>
        <w:bidi w:val="0"/>
        <w:snapToGrid w:val="0"/>
        <w:spacing w:line="320" w:lineRule="exact"/>
        <w:ind w:firstLine="602" w:firstLineChars="200"/>
        <w:textAlignment w:val="auto"/>
        <w:outlineLvl w:val="9"/>
        <w:rPr>
          <w:rFonts w:hint="eastAsia" w:ascii="仿宋" w:hAnsi="仿宋" w:eastAsia="仿宋"/>
          <w:b/>
          <w:bCs/>
          <w:sz w:val="30"/>
          <w:szCs w:val="30"/>
          <w:lang w:eastAsia="zh-CN"/>
        </w:rPr>
      </w:pPr>
      <w:r>
        <w:rPr>
          <w:rFonts w:hint="eastAsia" w:eastAsia="仿宋" w:asciiTheme="majorEastAsia" w:hAnsiTheme="majorEastAsia"/>
          <w:b/>
          <w:bCs/>
          <w:sz w:val="30"/>
          <w:szCs w:val="24"/>
          <w:lang w:val="en-US" w:eastAsia="zh-CN"/>
        </w:rPr>
        <w:t>资格</w:t>
      </w:r>
      <w:r>
        <w:rPr>
          <w:rFonts w:hint="eastAsia" w:ascii="仿宋" w:hAnsi="仿宋" w:eastAsia="仿宋"/>
          <w:b/>
          <w:bCs/>
          <w:sz w:val="30"/>
          <w:szCs w:val="30"/>
          <w:lang w:eastAsia="zh-CN"/>
        </w:rPr>
        <w:t>后审</w:t>
      </w:r>
      <w:r>
        <w:rPr>
          <w:rFonts w:hint="eastAsia" w:ascii="仿宋" w:hAnsi="仿宋" w:eastAsia="仿宋"/>
          <w:b/>
          <w:bCs/>
          <w:sz w:val="30"/>
          <w:szCs w:val="30"/>
        </w:rPr>
        <w:t>材料</w:t>
      </w:r>
      <w:r>
        <w:rPr>
          <w:rFonts w:hint="eastAsia" w:ascii="仿宋" w:hAnsi="仿宋" w:eastAsia="仿宋"/>
          <w:b/>
          <w:bCs/>
          <w:sz w:val="30"/>
          <w:szCs w:val="30"/>
          <w:lang w:eastAsia="zh-CN"/>
        </w:rPr>
        <w:t>必须装订成册（限</w:t>
      </w:r>
      <w:r>
        <w:rPr>
          <w:rFonts w:hint="eastAsia" w:ascii="仿宋" w:hAnsi="仿宋" w:eastAsia="仿宋"/>
          <w:b/>
          <w:bCs/>
          <w:sz w:val="30"/>
          <w:szCs w:val="30"/>
          <w:lang w:val="en-US" w:eastAsia="zh-CN"/>
        </w:rPr>
        <w:t>100页</w:t>
      </w:r>
      <w:r>
        <w:rPr>
          <w:rFonts w:hint="eastAsia" w:ascii="仿宋" w:hAnsi="仿宋" w:eastAsia="仿宋"/>
          <w:b/>
          <w:bCs/>
          <w:sz w:val="30"/>
          <w:szCs w:val="30"/>
          <w:lang w:eastAsia="zh-CN"/>
        </w:rPr>
        <w:t>），</w:t>
      </w:r>
      <w:r>
        <w:rPr>
          <w:rFonts w:hint="eastAsia" w:ascii="仿宋" w:hAnsi="仿宋" w:eastAsia="仿宋"/>
          <w:b/>
          <w:bCs/>
          <w:sz w:val="30"/>
          <w:szCs w:val="30"/>
        </w:rPr>
        <w:t>封装</w:t>
      </w:r>
      <w:r>
        <w:rPr>
          <w:rFonts w:hint="eastAsia" w:ascii="仿宋" w:hAnsi="仿宋" w:eastAsia="仿宋"/>
          <w:b/>
          <w:bCs/>
          <w:sz w:val="30"/>
          <w:szCs w:val="30"/>
          <w:lang w:eastAsia="zh-CN"/>
        </w:rPr>
        <w:t>。</w:t>
      </w:r>
      <w:r>
        <w:rPr>
          <w:rFonts w:hint="eastAsia" w:ascii="仿宋" w:hAnsi="仿宋" w:eastAsia="仿宋"/>
          <w:b/>
          <w:bCs/>
          <w:sz w:val="30"/>
          <w:szCs w:val="30"/>
        </w:rPr>
        <w:t>提供复印件加盖公章</w:t>
      </w:r>
      <w:r>
        <w:rPr>
          <w:rFonts w:hint="eastAsia" w:ascii="仿宋" w:hAnsi="仿宋" w:eastAsia="仿宋"/>
          <w:b/>
          <w:bCs/>
          <w:sz w:val="30"/>
          <w:szCs w:val="30"/>
          <w:lang w:eastAsia="zh-CN"/>
        </w:rPr>
        <w:t>，</w:t>
      </w:r>
      <w:r>
        <w:rPr>
          <w:rFonts w:hint="eastAsia" w:ascii="仿宋" w:hAnsi="仿宋" w:eastAsia="仿宋"/>
          <w:b/>
          <w:bCs/>
          <w:sz w:val="30"/>
          <w:szCs w:val="30"/>
        </w:rPr>
        <w:t>原件现场备查</w:t>
      </w:r>
      <w:r>
        <w:rPr>
          <w:rFonts w:hint="eastAsia" w:ascii="仿宋" w:hAnsi="仿宋" w:eastAsia="仿宋"/>
          <w:b/>
          <w:bCs/>
          <w:sz w:val="30"/>
          <w:szCs w:val="30"/>
          <w:lang w:eastAsia="zh-CN"/>
        </w:rPr>
        <w:t>。资格审查不合格者，取消投标资格。</w:t>
      </w:r>
    </w:p>
    <w:p>
      <w:pPr>
        <w:keepNext w:val="0"/>
        <w:keepLines w:val="0"/>
        <w:pageBreakBefore w:val="0"/>
        <w:widowControl w:val="0"/>
        <w:kinsoku/>
        <w:wordWrap/>
        <w:overflowPunct/>
        <w:topLinePunct w:val="0"/>
        <w:bidi w:val="0"/>
        <w:snapToGrid w:val="0"/>
        <w:spacing w:line="320" w:lineRule="exact"/>
        <w:ind w:firstLine="602" w:firstLineChars="200"/>
        <w:textAlignment w:val="auto"/>
        <w:outlineLvl w:val="9"/>
        <w:rPr>
          <w:rFonts w:hint="eastAsia" w:ascii="仿宋" w:hAnsi="仿宋" w:eastAsia="仿宋"/>
          <w:b/>
          <w:bCs/>
          <w:sz w:val="30"/>
          <w:szCs w:val="30"/>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六、</w:t>
      </w:r>
      <w:r>
        <w:rPr>
          <w:rFonts w:hint="eastAsia" w:eastAsia="仿宋" w:asciiTheme="majorEastAsia" w:hAnsiTheme="majorEastAsia"/>
          <w:sz w:val="30"/>
          <w:szCs w:val="24"/>
        </w:rPr>
        <w:t>本次招标实行综合评标，总分100分</w:t>
      </w:r>
      <w:r>
        <w:rPr>
          <w:rFonts w:hint="eastAsia" w:eastAsia="仿宋" w:asciiTheme="majorEastAsia" w:hAnsiTheme="majorEastAsia"/>
          <w:sz w:val="30"/>
          <w:szCs w:val="24"/>
          <w:lang w:eastAsia="zh-CN"/>
        </w:rPr>
        <w:t>。</w:t>
      </w:r>
      <w:r>
        <w:rPr>
          <w:rFonts w:hint="eastAsia" w:eastAsia="仿宋" w:asciiTheme="majorEastAsia" w:hAnsiTheme="majorEastAsia"/>
          <w:sz w:val="30"/>
          <w:szCs w:val="24"/>
        </w:rPr>
        <w:t>技术标</w:t>
      </w: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0分，商务标</w:t>
      </w: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0分。</w:t>
      </w:r>
      <w:r>
        <w:rPr>
          <w:rFonts w:hint="eastAsia" w:eastAsia="仿宋" w:asciiTheme="majorEastAsia" w:hAnsiTheme="majorEastAsia"/>
          <w:b/>
          <w:sz w:val="30"/>
          <w:szCs w:val="24"/>
        </w:rPr>
        <w:t>技术标、商务标分别封装。</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outlineLvl w:val="2"/>
        <w:rPr>
          <w:rFonts w:eastAsia="仿宋" w:cs="Times New Roman" w:asciiTheme="majorEastAsia" w:hAnsiTheme="majorEastAsia"/>
          <w:sz w:val="30"/>
          <w:szCs w:val="24"/>
        </w:rPr>
      </w:pPr>
      <w:r>
        <w:rPr>
          <w:rFonts w:hint="eastAsia" w:eastAsia="仿宋" w:cs="Times New Roman" w:asciiTheme="majorEastAsia" w:hAnsiTheme="majorEastAsia"/>
          <w:sz w:val="30"/>
          <w:szCs w:val="24"/>
        </w:rPr>
        <w:t>（一）技术标</w:t>
      </w:r>
      <w:r>
        <w:rPr>
          <w:rFonts w:hint="eastAsia" w:eastAsia="仿宋" w:asciiTheme="majorEastAsia" w:hAnsiTheme="majorEastAsia"/>
          <w:sz w:val="30"/>
          <w:szCs w:val="24"/>
          <w:lang w:val="en-US" w:eastAsia="zh-CN"/>
        </w:rPr>
        <w:t>5</w:t>
      </w:r>
      <w:r>
        <w:rPr>
          <w:rFonts w:hint="eastAsia" w:eastAsia="仿宋" w:cs="Times New Roman" w:asciiTheme="majorEastAsia" w:hAnsiTheme="majorEastAsia"/>
          <w:sz w:val="30"/>
          <w:szCs w:val="24"/>
        </w:rPr>
        <w:t>0分</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outlineLvl w:val="2"/>
        <w:rPr>
          <w:rFonts w:hint="eastAsia" w:eastAsia="仿宋" w:cs="Times New Roman" w:asciiTheme="majorEastAsia" w:hAnsiTheme="majorEastAsia"/>
          <w:sz w:val="30"/>
          <w:szCs w:val="24"/>
          <w:lang w:eastAsia="zh-CN"/>
        </w:rPr>
      </w:pPr>
      <w:r>
        <w:rPr>
          <w:rFonts w:hint="eastAsia" w:eastAsia="仿宋" w:cs="Times New Roman" w:asciiTheme="majorEastAsia" w:hAnsiTheme="majorEastAsia"/>
          <w:sz w:val="30"/>
          <w:szCs w:val="24"/>
        </w:rPr>
        <w:t>1.管理</w:t>
      </w:r>
      <w:r>
        <w:rPr>
          <w:rFonts w:hint="eastAsia" w:eastAsia="仿宋" w:cs="Times New Roman" w:asciiTheme="majorEastAsia" w:hAnsiTheme="majorEastAsia"/>
          <w:sz w:val="30"/>
          <w:szCs w:val="24"/>
          <w:lang w:eastAsia="zh-CN"/>
        </w:rPr>
        <w:t>规范</w:t>
      </w:r>
      <w:r>
        <w:rPr>
          <w:rFonts w:hint="eastAsia" w:eastAsia="仿宋" w:cs="Times New Roman" w:asciiTheme="majorEastAsia" w:hAnsiTheme="majorEastAsia"/>
          <w:sz w:val="30"/>
          <w:szCs w:val="24"/>
          <w:lang w:val="en-US" w:eastAsia="zh-CN"/>
        </w:rPr>
        <w:t>6</w:t>
      </w:r>
      <w:r>
        <w:rPr>
          <w:rFonts w:hint="eastAsia" w:eastAsia="仿宋" w:cs="Times New Roman" w:asciiTheme="majorEastAsia" w:hAnsiTheme="majorEastAsia"/>
          <w:sz w:val="30"/>
          <w:szCs w:val="24"/>
        </w:rPr>
        <w:t>分。规章制度</w:t>
      </w:r>
      <w:r>
        <w:rPr>
          <w:rFonts w:hint="eastAsia" w:eastAsia="仿宋" w:cs="Times New Roman" w:asciiTheme="majorEastAsia" w:hAnsiTheme="majorEastAsia"/>
          <w:sz w:val="30"/>
          <w:szCs w:val="24"/>
          <w:lang w:eastAsia="zh-CN"/>
        </w:rPr>
        <w:t>好</w:t>
      </w:r>
      <w:r>
        <w:rPr>
          <w:rFonts w:hint="eastAsia" w:eastAsia="仿宋" w:cs="Times New Roman" w:asciiTheme="majorEastAsia" w:hAnsiTheme="majorEastAsia"/>
          <w:sz w:val="30"/>
          <w:szCs w:val="24"/>
          <w:lang w:val="en-US" w:eastAsia="zh-CN"/>
        </w:rPr>
        <w:t>3</w:t>
      </w:r>
      <w:r>
        <w:rPr>
          <w:rFonts w:hint="eastAsia" w:eastAsia="仿宋" w:cs="Times New Roman" w:asciiTheme="majorEastAsia" w:hAnsiTheme="majorEastAsia"/>
          <w:sz w:val="30"/>
          <w:szCs w:val="24"/>
        </w:rPr>
        <w:t>分</w:t>
      </w:r>
      <w:r>
        <w:rPr>
          <w:rFonts w:hint="eastAsia" w:eastAsia="仿宋" w:cs="Times New Roman" w:asciiTheme="majorEastAsia" w:hAnsiTheme="majorEastAsia"/>
          <w:sz w:val="30"/>
          <w:szCs w:val="24"/>
          <w:lang w:eastAsia="zh-CN"/>
        </w:rPr>
        <w:t>，较好</w:t>
      </w:r>
      <w:r>
        <w:rPr>
          <w:rFonts w:hint="eastAsia" w:eastAsia="仿宋" w:cs="Times New Roman" w:asciiTheme="majorEastAsia" w:hAnsiTheme="majorEastAsia"/>
          <w:sz w:val="30"/>
          <w:szCs w:val="24"/>
          <w:lang w:val="en-US" w:eastAsia="zh-CN"/>
        </w:rPr>
        <w:t>2分，一般1分，没有提供不得分</w:t>
      </w:r>
      <w:r>
        <w:rPr>
          <w:rFonts w:hint="eastAsia" w:eastAsia="仿宋" w:cs="Times New Roman" w:asciiTheme="majorEastAsia" w:hAnsiTheme="majorEastAsia"/>
          <w:sz w:val="30"/>
          <w:szCs w:val="24"/>
        </w:rPr>
        <w:t>；</w:t>
      </w:r>
      <w:r>
        <w:rPr>
          <w:rFonts w:hint="eastAsia" w:eastAsia="仿宋" w:cs="Times New Roman" w:asciiTheme="majorEastAsia" w:hAnsiTheme="majorEastAsia"/>
          <w:sz w:val="30"/>
          <w:szCs w:val="24"/>
          <w:lang w:eastAsia="zh-CN"/>
        </w:rPr>
        <w:t>质量管理体系</w:t>
      </w:r>
      <w:r>
        <w:rPr>
          <w:rFonts w:hint="eastAsia" w:eastAsia="仿宋" w:asciiTheme="majorEastAsia" w:hAnsiTheme="majorEastAsia"/>
          <w:sz w:val="30"/>
          <w:szCs w:val="24"/>
          <w:lang w:val="en-US" w:eastAsia="zh-CN"/>
        </w:rPr>
        <w:t>3</w:t>
      </w:r>
      <w:r>
        <w:rPr>
          <w:rFonts w:hint="eastAsia" w:eastAsia="仿宋" w:asciiTheme="majorEastAsia" w:hAnsiTheme="majorEastAsia"/>
          <w:sz w:val="30"/>
          <w:szCs w:val="24"/>
        </w:rPr>
        <w:t>分，</w:t>
      </w:r>
      <w:r>
        <w:rPr>
          <w:rFonts w:hint="eastAsia" w:eastAsia="仿宋" w:cs="Times New Roman" w:asciiTheme="majorEastAsia" w:hAnsiTheme="majorEastAsia"/>
          <w:sz w:val="30"/>
          <w:szCs w:val="24"/>
          <w:lang w:val="en-US" w:eastAsia="zh-CN"/>
        </w:rPr>
        <w:t>实施标准质量管理体系好3分</w:t>
      </w:r>
      <w:r>
        <w:rPr>
          <w:rFonts w:hint="eastAsia" w:eastAsia="仿宋" w:cs="Times New Roman" w:asciiTheme="majorEastAsia" w:hAnsiTheme="majorEastAsia"/>
          <w:sz w:val="30"/>
          <w:szCs w:val="24"/>
        </w:rPr>
        <w:t>，</w:t>
      </w:r>
      <w:r>
        <w:rPr>
          <w:rFonts w:hint="eastAsia" w:eastAsia="仿宋" w:cs="Times New Roman" w:asciiTheme="majorEastAsia" w:hAnsiTheme="majorEastAsia"/>
          <w:sz w:val="30"/>
          <w:szCs w:val="24"/>
          <w:lang w:eastAsia="zh-CN"/>
        </w:rPr>
        <w:t>一般</w:t>
      </w:r>
      <w:r>
        <w:rPr>
          <w:rFonts w:hint="eastAsia" w:eastAsia="仿宋" w:cs="Times New Roman" w:asciiTheme="majorEastAsia" w:hAnsiTheme="majorEastAsia"/>
          <w:sz w:val="30"/>
          <w:szCs w:val="24"/>
          <w:lang w:val="en-US" w:eastAsia="zh-CN"/>
        </w:rPr>
        <w:t>1分，</w:t>
      </w:r>
      <w:r>
        <w:rPr>
          <w:rFonts w:hint="eastAsia" w:eastAsia="仿宋" w:cs="Times New Roman" w:asciiTheme="majorEastAsia" w:hAnsiTheme="majorEastAsia"/>
          <w:sz w:val="30"/>
          <w:szCs w:val="24"/>
        </w:rPr>
        <w:t>没有</w:t>
      </w:r>
      <w:r>
        <w:rPr>
          <w:rFonts w:hint="eastAsia" w:eastAsia="仿宋" w:cs="Times New Roman" w:asciiTheme="majorEastAsia" w:hAnsiTheme="majorEastAsia"/>
          <w:sz w:val="30"/>
          <w:szCs w:val="24"/>
          <w:lang w:eastAsia="zh-CN"/>
        </w:rPr>
        <w:t>实施</w:t>
      </w:r>
      <w:r>
        <w:rPr>
          <w:rFonts w:hint="eastAsia" w:eastAsia="仿宋" w:asciiTheme="majorEastAsia" w:hAnsiTheme="majorEastAsia"/>
          <w:sz w:val="30"/>
          <w:szCs w:val="24"/>
        </w:rPr>
        <w:t>不得分</w:t>
      </w:r>
      <w:r>
        <w:rPr>
          <w:rFonts w:hint="eastAsia" w:eastAsia="仿宋" w:cs="Times New Roman" w:asciiTheme="majorEastAsia" w:hAnsiTheme="majorEastAsia"/>
          <w:sz w:val="30"/>
          <w:szCs w:val="24"/>
          <w:lang w:eastAsia="zh-CN"/>
        </w:rPr>
        <w:t>。</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outlineLvl w:val="2"/>
        <w:rPr>
          <w:rFonts w:eastAsia="仿宋" w:asciiTheme="majorEastAsia" w:hAnsiTheme="majorEastAsia"/>
          <w:sz w:val="30"/>
          <w:szCs w:val="24"/>
        </w:rPr>
      </w:pPr>
      <w:r>
        <w:rPr>
          <w:rFonts w:hint="eastAsia" w:eastAsia="仿宋" w:cs="Times New Roman" w:asciiTheme="majorEastAsia" w:hAnsiTheme="majorEastAsia"/>
          <w:sz w:val="30"/>
          <w:szCs w:val="24"/>
        </w:rPr>
        <w:t>2.服务能力</w:t>
      </w:r>
      <w:r>
        <w:rPr>
          <w:rFonts w:hint="eastAsia" w:eastAsia="仿宋" w:cs="Times New Roman" w:asciiTheme="majorEastAsia" w:hAnsiTheme="majorEastAsia"/>
          <w:sz w:val="30"/>
          <w:szCs w:val="24"/>
          <w:lang w:val="en-US" w:eastAsia="zh-CN"/>
        </w:rPr>
        <w:t>8</w:t>
      </w:r>
      <w:r>
        <w:rPr>
          <w:rFonts w:hint="eastAsia" w:eastAsia="仿宋" w:cs="Times New Roman" w:asciiTheme="majorEastAsia" w:hAnsiTheme="majorEastAsia"/>
          <w:sz w:val="30"/>
          <w:szCs w:val="24"/>
        </w:rPr>
        <w:t>分。</w:t>
      </w:r>
      <w:r>
        <w:rPr>
          <w:rFonts w:hint="eastAsia" w:eastAsia="仿宋" w:cs="Times New Roman" w:asciiTheme="majorEastAsia" w:hAnsiTheme="majorEastAsia"/>
          <w:sz w:val="30"/>
          <w:szCs w:val="24"/>
          <w:lang w:eastAsia="zh-CN"/>
        </w:rPr>
        <w:t>教练车服务</w:t>
      </w:r>
      <w:r>
        <w:rPr>
          <w:rFonts w:hint="eastAsia" w:eastAsia="仿宋" w:cs="Times New Roman" w:asciiTheme="majorEastAsia" w:hAnsiTheme="majorEastAsia"/>
          <w:sz w:val="30"/>
          <w:szCs w:val="24"/>
          <w:lang w:val="en-US" w:eastAsia="zh-CN"/>
        </w:rPr>
        <w:t>4分，</w:t>
      </w:r>
      <w:r>
        <w:rPr>
          <w:rFonts w:hint="eastAsia" w:eastAsia="仿宋" w:cs="Times New Roman" w:asciiTheme="majorEastAsia" w:hAnsiTheme="majorEastAsia"/>
          <w:sz w:val="30"/>
          <w:szCs w:val="24"/>
          <w:lang w:eastAsia="zh-CN"/>
        </w:rPr>
        <w:t>具备教练车</w:t>
      </w:r>
      <w:r>
        <w:rPr>
          <w:rFonts w:hint="eastAsia" w:eastAsia="仿宋" w:cs="Times New Roman" w:asciiTheme="majorEastAsia" w:hAnsiTheme="majorEastAsia"/>
          <w:sz w:val="30"/>
          <w:szCs w:val="24"/>
          <w:lang w:val="en-US" w:eastAsia="zh-CN"/>
        </w:rPr>
        <w:t>30辆得1分，每增加5辆得1分；教练服务4分，</w:t>
      </w:r>
      <w:r>
        <w:rPr>
          <w:rFonts w:hint="eastAsia" w:eastAsia="仿宋" w:cs="Times New Roman" w:asciiTheme="majorEastAsia" w:hAnsiTheme="majorEastAsia"/>
          <w:sz w:val="30"/>
          <w:szCs w:val="24"/>
        </w:rPr>
        <w:t>有</w:t>
      </w:r>
      <w:r>
        <w:rPr>
          <w:rFonts w:hint="eastAsia" w:eastAsia="仿宋" w:cs="Times New Roman" w:asciiTheme="majorEastAsia" w:hAnsiTheme="majorEastAsia"/>
          <w:sz w:val="30"/>
          <w:szCs w:val="24"/>
          <w:lang w:val="en-US" w:eastAsia="zh-CN"/>
        </w:rPr>
        <w:t>35</w:t>
      </w:r>
      <w:r>
        <w:rPr>
          <w:rFonts w:hint="eastAsia" w:eastAsia="仿宋" w:cs="Times New Roman" w:asciiTheme="majorEastAsia" w:hAnsiTheme="majorEastAsia"/>
          <w:sz w:val="30"/>
          <w:szCs w:val="24"/>
        </w:rPr>
        <w:t>名教学人员得</w:t>
      </w:r>
      <w:r>
        <w:rPr>
          <w:rFonts w:hint="eastAsia" w:eastAsia="仿宋" w:cs="Times New Roman" w:asciiTheme="majorEastAsia" w:hAnsiTheme="majorEastAsia"/>
          <w:sz w:val="30"/>
          <w:szCs w:val="24"/>
          <w:lang w:val="en-US" w:eastAsia="zh-CN"/>
        </w:rPr>
        <w:t>1</w:t>
      </w:r>
      <w:r>
        <w:rPr>
          <w:rFonts w:hint="eastAsia" w:eastAsia="仿宋" w:cs="Times New Roman" w:asciiTheme="majorEastAsia" w:hAnsiTheme="majorEastAsia"/>
          <w:sz w:val="30"/>
          <w:szCs w:val="24"/>
        </w:rPr>
        <w:t>分</w:t>
      </w:r>
      <w:r>
        <w:rPr>
          <w:rFonts w:hint="eastAsia" w:eastAsia="仿宋" w:cs="Times New Roman" w:asciiTheme="majorEastAsia" w:hAnsiTheme="majorEastAsia"/>
          <w:sz w:val="30"/>
          <w:szCs w:val="24"/>
          <w:lang w:eastAsia="zh-CN"/>
        </w:rPr>
        <w:t>，每增加</w:t>
      </w:r>
      <w:r>
        <w:rPr>
          <w:rFonts w:hint="eastAsia" w:eastAsia="仿宋" w:cs="Times New Roman" w:asciiTheme="majorEastAsia" w:hAnsiTheme="majorEastAsia"/>
          <w:sz w:val="30"/>
          <w:szCs w:val="24"/>
          <w:lang w:val="en-US" w:eastAsia="zh-CN"/>
        </w:rPr>
        <w:t>5名得1分。</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hint="eastAsia" w:eastAsia="仿宋" w:asciiTheme="majorEastAsia" w:hAnsiTheme="majorEastAsia"/>
          <w:sz w:val="30"/>
          <w:szCs w:val="24"/>
          <w:lang w:val="en-US" w:eastAsia="zh-CN"/>
        </w:rPr>
      </w:pPr>
      <w:r>
        <w:rPr>
          <w:rFonts w:hint="eastAsia" w:eastAsia="仿宋" w:asciiTheme="majorEastAsia" w:hAnsiTheme="majorEastAsia"/>
          <w:sz w:val="30"/>
          <w:szCs w:val="24"/>
        </w:rPr>
        <w:t>3.信誉度</w:t>
      </w:r>
      <w:r>
        <w:rPr>
          <w:rFonts w:hint="eastAsia" w:eastAsia="仿宋" w:asciiTheme="majorEastAsia" w:hAnsiTheme="majorEastAsia"/>
          <w:sz w:val="30"/>
          <w:szCs w:val="24"/>
          <w:lang w:val="en-US" w:eastAsia="zh-CN"/>
        </w:rPr>
        <w:t>8</w:t>
      </w:r>
      <w:r>
        <w:rPr>
          <w:rFonts w:hint="eastAsia" w:eastAsia="仿宋" w:asciiTheme="majorEastAsia" w:hAnsiTheme="majorEastAsia"/>
          <w:sz w:val="30"/>
          <w:szCs w:val="24"/>
        </w:rPr>
        <w:t>分。</w:t>
      </w:r>
      <w:r>
        <w:rPr>
          <w:rFonts w:hint="eastAsia" w:eastAsia="仿宋" w:asciiTheme="majorEastAsia" w:hAnsiTheme="majorEastAsia"/>
          <w:sz w:val="30"/>
          <w:szCs w:val="24"/>
          <w:lang w:val="en-US" w:eastAsia="zh-CN"/>
        </w:rPr>
        <w:t>信誉等级5分，3A得5分，2A得3分，1A得1分；获得荣誉3分，省级表彰1项1分，市级表彰1项0.5分。行业协会表彰等同,须提供文件资料。</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val="en-US" w:eastAsia="zh-CN"/>
        </w:rPr>
        <w:t>4</w:t>
      </w:r>
      <w:r>
        <w:rPr>
          <w:rFonts w:hint="eastAsia" w:eastAsia="仿宋" w:asciiTheme="majorEastAsia" w:hAnsiTheme="majorEastAsia"/>
          <w:sz w:val="30"/>
          <w:szCs w:val="24"/>
        </w:rPr>
        <w:t>.服务方案</w:t>
      </w:r>
      <w:r>
        <w:rPr>
          <w:rFonts w:hint="eastAsia" w:eastAsia="仿宋" w:asciiTheme="majorEastAsia" w:hAnsiTheme="majorEastAsia"/>
          <w:sz w:val="30"/>
          <w:szCs w:val="24"/>
          <w:lang w:val="en-US" w:eastAsia="zh-CN"/>
        </w:rPr>
        <w:t>28</w:t>
      </w:r>
      <w:r>
        <w:rPr>
          <w:rFonts w:hint="eastAsia" w:eastAsia="仿宋" w:asciiTheme="majorEastAsia" w:hAnsiTheme="majorEastAsia"/>
          <w:sz w:val="30"/>
          <w:szCs w:val="24"/>
        </w:rPr>
        <w:t>分。提供详尽的服务方案，</w:t>
      </w:r>
      <w:r>
        <w:rPr>
          <w:rFonts w:hint="eastAsia" w:eastAsia="仿宋" w:asciiTheme="majorEastAsia" w:hAnsiTheme="majorEastAsia"/>
          <w:sz w:val="30"/>
          <w:szCs w:val="24"/>
          <w:lang w:eastAsia="zh-CN"/>
        </w:rPr>
        <w:t>阐述自己的优势，明确所有培训费用、服务措施、质量保障、安全管理、中标</w:t>
      </w:r>
      <w:r>
        <w:rPr>
          <w:rFonts w:hint="eastAsia" w:eastAsia="仿宋" w:asciiTheme="majorEastAsia" w:hAnsiTheme="majorEastAsia"/>
          <w:sz w:val="30"/>
          <w:szCs w:val="24"/>
        </w:rPr>
        <w:t>承诺</w:t>
      </w:r>
      <w:r>
        <w:rPr>
          <w:rFonts w:hint="eastAsia" w:eastAsia="仿宋" w:asciiTheme="majorEastAsia" w:hAnsiTheme="majorEastAsia"/>
          <w:sz w:val="30"/>
          <w:szCs w:val="24"/>
          <w:lang w:eastAsia="zh-CN"/>
        </w:rPr>
        <w:t>等。</w:t>
      </w:r>
      <w:r>
        <w:rPr>
          <w:rFonts w:hint="eastAsia" w:eastAsia="仿宋" w:asciiTheme="majorEastAsia" w:hAnsiTheme="majorEastAsia"/>
          <w:sz w:val="30"/>
          <w:szCs w:val="24"/>
        </w:rPr>
        <w:t>按方案好、较好、一般</w:t>
      </w:r>
      <w:r>
        <w:rPr>
          <w:rFonts w:hint="eastAsia" w:eastAsia="仿宋" w:asciiTheme="majorEastAsia" w:hAnsiTheme="majorEastAsia"/>
          <w:sz w:val="30"/>
          <w:szCs w:val="24"/>
          <w:lang w:eastAsia="zh-CN"/>
        </w:rPr>
        <w:t>，</w:t>
      </w:r>
      <w:r>
        <w:rPr>
          <w:rFonts w:hint="eastAsia" w:eastAsia="仿宋" w:asciiTheme="majorEastAsia" w:hAnsiTheme="majorEastAsia"/>
          <w:sz w:val="30"/>
          <w:szCs w:val="24"/>
        </w:rPr>
        <w:t>分别得</w:t>
      </w:r>
      <w:r>
        <w:rPr>
          <w:rFonts w:hint="eastAsia" w:eastAsia="仿宋" w:asciiTheme="majorEastAsia" w:hAnsiTheme="majorEastAsia"/>
          <w:sz w:val="30"/>
          <w:szCs w:val="24"/>
          <w:lang w:val="en-US" w:eastAsia="zh-CN"/>
        </w:rPr>
        <w:t>25分及以上</w:t>
      </w:r>
      <w:r>
        <w:rPr>
          <w:rFonts w:hint="eastAsia" w:eastAsia="仿宋" w:asciiTheme="majorEastAsia" w:hAnsiTheme="majorEastAsia"/>
          <w:sz w:val="30"/>
          <w:szCs w:val="24"/>
        </w:rPr>
        <w:t>、</w:t>
      </w:r>
      <w:r>
        <w:rPr>
          <w:rFonts w:hint="eastAsia" w:eastAsia="仿宋" w:asciiTheme="majorEastAsia" w:hAnsiTheme="majorEastAsia"/>
          <w:sz w:val="30"/>
          <w:szCs w:val="24"/>
          <w:lang w:val="en-US" w:eastAsia="zh-CN"/>
        </w:rPr>
        <w:t>22</w:t>
      </w:r>
      <w:r>
        <w:rPr>
          <w:rFonts w:hint="eastAsia" w:eastAsia="仿宋" w:asciiTheme="majorEastAsia" w:hAnsiTheme="majorEastAsia"/>
          <w:sz w:val="30"/>
          <w:szCs w:val="24"/>
          <w:lang w:eastAsia="zh-CN"/>
        </w:rPr>
        <w:t>分及以上</w:t>
      </w:r>
      <w:r>
        <w:rPr>
          <w:rFonts w:hint="eastAsia" w:eastAsia="仿宋" w:asciiTheme="majorEastAsia" w:hAnsiTheme="majorEastAsia"/>
          <w:sz w:val="30"/>
          <w:szCs w:val="24"/>
        </w:rPr>
        <w:t>、</w:t>
      </w:r>
      <w:r>
        <w:rPr>
          <w:rFonts w:hint="eastAsia" w:eastAsia="仿宋" w:asciiTheme="majorEastAsia" w:hAnsiTheme="majorEastAsia"/>
          <w:sz w:val="30"/>
          <w:szCs w:val="24"/>
          <w:lang w:val="en-US" w:eastAsia="zh-CN"/>
        </w:rPr>
        <w:t>20分以下</w:t>
      </w:r>
      <w:r>
        <w:rPr>
          <w:rFonts w:hint="eastAsia" w:eastAsia="仿宋" w:asciiTheme="majorEastAsia" w:hAnsiTheme="majorEastAsia"/>
          <w:sz w:val="30"/>
          <w:szCs w:val="24"/>
          <w:lang w:eastAsia="zh-CN"/>
        </w:rPr>
        <w:t>。</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2" w:firstLineChars="200"/>
        <w:textAlignment w:val="auto"/>
        <w:rPr>
          <w:rFonts w:eastAsia="仿宋" w:asciiTheme="majorEastAsia" w:hAnsiTheme="majorEastAsia"/>
          <w:b/>
          <w:sz w:val="30"/>
          <w:szCs w:val="28"/>
        </w:rPr>
      </w:pPr>
      <w:r>
        <w:rPr>
          <w:rFonts w:hint="eastAsia" w:eastAsia="仿宋" w:asciiTheme="majorEastAsia" w:hAnsiTheme="majorEastAsia"/>
          <w:b/>
          <w:sz w:val="30"/>
          <w:szCs w:val="28"/>
        </w:rPr>
        <w:t>所有技术标文件必须装订成册，限</w:t>
      </w:r>
      <w:r>
        <w:rPr>
          <w:rFonts w:hint="eastAsia" w:eastAsia="仿宋" w:asciiTheme="majorEastAsia" w:hAnsiTheme="majorEastAsia"/>
          <w:b/>
          <w:sz w:val="30"/>
          <w:szCs w:val="28"/>
          <w:lang w:val="en-US" w:eastAsia="zh-CN"/>
        </w:rPr>
        <w:t>15</w:t>
      </w:r>
      <w:r>
        <w:rPr>
          <w:rFonts w:hint="eastAsia" w:eastAsia="仿宋" w:asciiTheme="majorEastAsia" w:hAnsiTheme="majorEastAsia"/>
          <w:b/>
          <w:sz w:val="30"/>
          <w:szCs w:val="28"/>
        </w:rPr>
        <w:t>0页以内，否则扣5分。</w:t>
      </w:r>
      <w:r>
        <w:rPr>
          <w:rFonts w:hint="eastAsia" w:eastAsia="仿宋" w:asciiTheme="majorEastAsia" w:hAnsiTheme="majorEastAsia"/>
          <w:b/>
          <w:sz w:val="30"/>
          <w:szCs w:val="28"/>
          <w:lang w:eastAsia="zh-CN"/>
        </w:rPr>
        <w:t>宣传册可置技术标文件袋内。</w:t>
      </w:r>
    </w:p>
    <w:p>
      <w:pPr>
        <w:keepNext w:val="0"/>
        <w:keepLines w:val="0"/>
        <w:pageBreakBefore w:val="0"/>
        <w:widowControl w:val="0"/>
        <w:kinsoku/>
        <w:wordWrap/>
        <w:overflowPunct/>
        <w:topLinePunct w:val="0"/>
        <w:autoSpaceDE/>
        <w:autoSpaceDN/>
        <w:bidi w:val="0"/>
        <w:adjustRightInd/>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（二）商务标</w:t>
      </w: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0分</w:t>
      </w:r>
    </w:p>
    <w:p>
      <w:pPr>
        <w:pStyle w:val="10"/>
        <w:keepNext w:val="0"/>
        <w:keepLines w:val="0"/>
        <w:pageBreakBefore w:val="0"/>
        <w:widowControl w:val="0"/>
        <w:kinsoku/>
        <w:wordWrap/>
        <w:overflowPunct/>
        <w:topLinePunct w:val="0"/>
        <w:autoSpaceDE/>
        <w:autoSpaceDN/>
        <w:bidi w:val="0"/>
        <w:adjustRightInd/>
        <w:spacing w:line="360" w:lineRule="exact"/>
        <w:ind w:left="0" w:leftChars="0"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管理费</w:t>
      </w:r>
      <w:r>
        <w:rPr>
          <w:rFonts w:hint="eastAsia" w:eastAsia="仿宋" w:asciiTheme="majorEastAsia" w:hAnsiTheme="majorEastAsia"/>
          <w:sz w:val="30"/>
          <w:szCs w:val="24"/>
          <w:lang w:eastAsia="zh-CN"/>
        </w:rPr>
        <w:t>报价</w:t>
      </w:r>
      <w:r>
        <w:rPr>
          <w:rFonts w:hint="eastAsia" w:eastAsia="仿宋" w:asciiTheme="majorEastAsia" w:hAnsiTheme="majorEastAsia"/>
          <w:sz w:val="30"/>
          <w:szCs w:val="24"/>
        </w:rPr>
        <w:t>：</w:t>
      </w:r>
      <w:r>
        <w:rPr>
          <w:rFonts w:hint="eastAsia" w:eastAsia="仿宋" w:asciiTheme="majorEastAsia" w:hAnsiTheme="majorEastAsia"/>
          <w:sz w:val="30"/>
          <w:szCs w:val="24"/>
          <w:lang w:eastAsia="zh-CN"/>
        </w:rPr>
        <w:t>按</w:t>
      </w:r>
      <w:r>
        <w:rPr>
          <w:rFonts w:hint="eastAsia" w:eastAsia="仿宋" w:asciiTheme="majorEastAsia" w:hAnsiTheme="majorEastAsia"/>
          <w:sz w:val="30"/>
          <w:szCs w:val="24"/>
          <w:lang w:val="en-US" w:eastAsia="zh-CN"/>
        </w:rPr>
        <w:t>1年报价。</w:t>
      </w:r>
      <w:r>
        <w:rPr>
          <w:rFonts w:hint="eastAsia" w:eastAsia="仿宋" w:asciiTheme="majorEastAsia" w:hAnsiTheme="majorEastAsia"/>
          <w:sz w:val="30"/>
          <w:szCs w:val="24"/>
          <w:lang w:eastAsia="zh-CN"/>
        </w:rPr>
        <w:t>每家投标单位</w:t>
      </w:r>
      <w:r>
        <w:rPr>
          <w:rFonts w:hint="eastAsia" w:eastAsia="仿宋" w:asciiTheme="majorEastAsia" w:hAnsiTheme="majorEastAsia"/>
          <w:sz w:val="30"/>
          <w:szCs w:val="24"/>
        </w:rPr>
        <w:t>按</w:t>
      </w:r>
      <w:r>
        <w:rPr>
          <w:rFonts w:hint="eastAsia" w:eastAsia="仿宋" w:asciiTheme="majorEastAsia" w:hAnsiTheme="majorEastAsia"/>
          <w:sz w:val="30"/>
          <w:szCs w:val="24"/>
          <w:lang w:eastAsia="zh-CN"/>
        </w:rPr>
        <w:t>人民币</w:t>
      </w: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万元/年为基准报价，</w:t>
      </w:r>
      <w:r>
        <w:rPr>
          <w:rFonts w:hint="eastAsia" w:eastAsia="仿宋" w:asciiTheme="majorEastAsia" w:hAnsiTheme="majorEastAsia"/>
          <w:sz w:val="30"/>
          <w:szCs w:val="24"/>
          <w:lang w:eastAsia="zh-CN"/>
        </w:rPr>
        <w:t>低于</w:t>
      </w:r>
      <w:r>
        <w:rPr>
          <w:rFonts w:hint="eastAsia" w:eastAsia="仿宋" w:asciiTheme="majorEastAsia" w:hAnsiTheme="majorEastAsia"/>
          <w:sz w:val="30"/>
          <w:szCs w:val="24"/>
        </w:rPr>
        <w:t>基准报价</w:t>
      </w:r>
      <w:r>
        <w:rPr>
          <w:rFonts w:hint="eastAsia" w:eastAsia="仿宋" w:asciiTheme="majorEastAsia" w:hAnsiTheme="majorEastAsia"/>
          <w:sz w:val="30"/>
          <w:szCs w:val="24"/>
          <w:lang w:eastAsia="zh-CN"/>
        </w:rPr>
        <w:t>废标。所有有效报价的平均价上浮</w:t>
      </w:r>
      <w:r>
        <w:rPr>
          <w:rFonts w:hint="eastAsia" w:eastAsia="仿宋" w:asciiTheme="majorEastAsia" w:hAnsiTheme="majorEastAsia"/>
          <w:sz w:val="30"/>
          <w:szCs w:val="24"/>
          <w:lang w:val="en-US" w:eastAsia="zh-CN"/>
        </w:rPr>
        <w:t>10%</w:t>
      </w:r>
      <w:r>
        <w:rPr>
          <w:rFonts w:hint="eastAsia" w:eastAsia="仿宋" w:asciiTheme="majorEastAsia" w:hAnsiTheme="majorEastAsia"/>
          <w:sz w:val="30"/>
          <w:szCs w:val="24"/>
          <w:lang w:eastAsia="zh-CN"/>
        </w:rPr>
        <w:t>为标准报价得满分，每高于标准报价</w:t>
      </w:r>
      <w:r>
        <w:rPr>
          <w:rFonts w:hint="eastAsia" w:eastAsia="仿宋" w:asciiTheme="majorEastAsia" w:hAnsiTheme="majorEastAsia"/>
          <w:sz w:val="30"/>
          <w:szCs w:val="24"/>
          <w:lang w:val="en-US" w:eastAsia="zh-CN"/>
        </w:rPr>
        <w:t>1%扣0.3分，</w:t>
      </w:r>
      <w:r>
        <w:rPr>
          <w:rFonts w:hint="eastAsia" w:eastAsia="仿宋" w:asciiTheme="majorEastAsia" w:hAnsiTheme="majorEastAsia"/>
          <w:sz w:val="30"/>
          <w:szCs w:val="24"/>
          <w:lang w:eastAsia="zh-CN"/>
        </w:rPr>
        <w:t>每</w:t>
      </w:r>
      <w:r>
        <w:rPr>
          <w:rFonts w:hint="eastAsia" w:eastAsia="仿宋" w:asciiTheme="majorEastAsia" w:hAnsiTheme="majorEastAsia"/>
          <w:sz w:val="30"/>
          <w:szCs w:val="24"/>
          <w:lang w:val="en-US" w:eastAsia="zh-CN"/>
        </w:rPr>
        <w:t>低于</w:t>
      </w:r>
      <w:r>
        <w:rPr>
          <w:rFonts w:hint="eastAsia" w:eastAsia="仿宋" w:asciiTheme="majorEastAsia" w:hAnsiTheme="majorEastAsia"/>
          <w:sz w:val="30"/>
          <w:szCs w:val="24"/>
          <w:lang w:eastAsia="zh-CN"/>
        </w:rPr>
        <w:t>标准报价</w:t>
      </w:r>
      <w:r>
        <w:rPr>
          <w:rFonts w:hint="eastAsia" w:eastAsia="仿宋" w:asciiTheme="majorEastAsia" w:hAnsiTheme="majorEastAsia"/>
          <w:sz w:val="30"/>
          <w:szCs w:val="24"/>
          <w:lang w:val="en-US" w:eastAsia="zh-CN"/>
        </w:rPr>
        <w:t>1%扣0.4分</w:t>
      </w:r>
      <w:r>
        <w:rPr>
          <w:rFonts w:hint="eastAsia" w:eastAsia="仿宋" w:asciiTheme="majorEastAsia" w:hAnsiTheme="majorEastAsia"/>
          <w:sz w:val="30"/>
          <w:szCs w:val="24"/>
          <w:lang w:eastAsia="zh-CN"/>
        </w:rPr>
        <w:t>。</w:t>
      </w:r>
    </w:p>
    <w:p>
      <w:pPr>
        <w:keepNext w:val="0"/>
        <w:keepLines w:val="0"/>
        <w:pageBreakBefore w:val="0"/>
        <w:widowControl w:val="0"/>
        <w:kinsoku/>
        <w:wordWrap/>
        <w:overflowPunct/>
        <w:topLinePunct w:val="0"/>
        <w:autoSpaceDE/>
        <w:autoSpaceDN/>
        <w:bidi w:val="0"/>
        <w:adjustRightInd/>
        <w:spacing w:line="360" w:lineRule="exact"/>
        <w:ind w:right="0" w:rightChars="0" w:firstLine="602" w:firstLineChars="200"/>
        <w:textAlignment w:val="auto"/>
        <w:rPr>
          <w:rFonts w:eastAsia="仿宋" w:asciiTheme="majorEastAsia" w:hAnsiTheme="majorEastAsia"/>
          <w:b/>
          <w:sz w:val="30"/>
          <w:szCs w:val="28"/>
        </w:rPr>
      </w:pPr>
      <w:r>
        <w:rPr>
          <w:rFonts w:hint="eastAsia" w:eastAsia="仿宋" w:asciiTheme="majorEastAsia" w:hAnsiTheme="majorEastAsia"/>
          <w:b/>
          <w:sz w:val="30"/>
          <w:szCs w:val="28"/>
        </w:rPr>
        <w:t>报价可精确到整数位。</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七</w:t>
      </w:r>
      <w:r>
        <w:rPr>
          <w:rFonts w:hint="eastAsia" w:eastAsia="仿宋" w:asciiTheme="majorEastAsia" w:hAnsiTheme="majorEastAsia"/>
          <w:sz w:val="30"/>
          <w:szCs w:val="24"/>
        </w:rPr>
        <w:t>、评标</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1.先</w:t>
      </w:r>
      <w:r>
        <w:rPr>
          <w:rFonts w:hint="eastAsia" w:eastAsia="仿宋" w:asciiTheme="majorEastAsia" w:hAnsiTheme="majorEastAsia"/>
          <w:sz w:val="30"/>
          <w:szCs w:val="24"/>
          <w:lang w:eastAsia="zh-CN"/>
        </w:rPr>
        <w:t>评审</w:t>
      </w:r>
      <w:r>
        <w:rPr>
          <w:rFonts w:hint="eastAsia" w:eastAsia="仿宋" w:asciiTheme="majorEastAsia" w:hAnsiTheme="majorEastAsia"/>
          <w:sz w:val="30"/>
          <w:szCs w:val="24"/>
        </w:rPr>
        <w:t>技术标，再评审商务标。</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2.根据技术标和商务标总得分，作为投标人的最终得分，并按得分高低进行排序。</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八</w:t>
      </w:r>
      <w:r>
        <w:rPr>
          <w:rFonts w:hint="eastAsia" w:eastAsia="仿宋" w:asciiTheme="majorEastAsia" w:hAnsiTheme="majorEastAsia"/>
          <w:sz w:val="30"/>
          <w:szCs w:val="24"/>
        </w:rPr>
        <w:t>、中标</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rPr>
        <w:t>以总得分排序</w:t>
      </w:r>
      <w:r>
        <w:rPr>
          <w:rFonts w:hint="eastAsia" w:eastAsia="仿宋" w:asciiTheme="majorEastAsia" w:hAnsiTheme="majorEastAsia"/>
          <w:sz w:val="30"/>
          <w:szCs w:val="24"/>
          <w:lang w:eastAsia="zh-CN"/>
        </w:rPr>
        <w:t>前三</w:t>
      </w:r>
      <w:r>
        <w:rPr>
          <w:rFonts w:hint="eastAsia" w:eastAsia="仿宋" w:asciiTheme="majorEastAsia" w:hAnsiTheme="majorEastAsia"/>
          <w:sz w:val="30"/>
          <w:szCs w:val="24"/>
        </w:rPr>
        <w:t>家投标人为拟中标人，</w:t>
      </w:r>
      <w:r>
        <w:rPr>
          <w:rFonts w:hint="eastAsia" w:eastAsia="仿宋" w:asciiTheme="majorEastAsia" w:hAnsiTheme="majorEastAsia"/>
          <w:sz w:val="30"/>
          <w:szCs w:val="24"/>
          <w:lang w:eastAsia="zh-CN"/>
        </w:rPr>
        <w:t>其商务报价即为中标价。出现弃标，可依次递补。</w:t>
      </w:r>
      <w:r>
        <w:rPr>
          <w:rFonts w:hint="eastAsia" w:eastAsia="仿宋" w:asciiTheme="majorEastAsia" w:hAnsiTheme="majorEastAsia"/>
          <w:sz w:val="30"/>
          <w:szCs w:val="24"/>
        </w:rPr>
        <w:t>公示无异议后，签订合同。</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r>
        <w:rPr>
          <w:rFonts w:hint="eastAsia" w:eastAsia="仿宋" w:asciiTheme="majorEastAsia" w:hAnsiTheme="majorEastAsia"/>
          <w:sz w:val="30"/>
          <w:szCs w:val="24"/>
          <w:lang w:eastAsia="zh-CN"/>
        </w:rPr>
        <w:t>九</w:t>
      </w:r>
      <w:r>
        <w:rPr>
          <w:rFonts w:hint="eastAsia" w:eastAsia="仿宋" w:asciiTheme="majorEastAsia" w:hAnsiTheme="majorEastAsia"/>
          <w:sz w:val="30"/>
          <w:szCs w:val="24"/>
        </w:rPr>
        <w:t>、投标说明</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1.投标文件送达时，缴纳投标保证金人民币2万元，如未中标则当场退还，如果中标则在合同签订时转为履约保证金的一部分。</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2.中标后，</w:t>
      </w:r>
      <w:r>
        <w:rPr>
          <w:rFonts w:hint="eastAsia" w:eastAsia="仿宋" w:asciiTheme="majorEastAsia" w:hAnsiTheme="majorEastAsia"/>
          <w:sz w:val="30"/>
          <w:szCs w:val="24"/>
          <w:lang w:val="en-US" w:eastAsia="zh-CN"/>
        </w:rPr>
        <w:t>3</w:t>
      </w:r>
      <w:r>
        <w:rPr>
          <w:rFonts w:hint="eastAsia" w:eastAsia="仿宋" w:asciiTheme="majorEastAsia" w:hAnsiTheme="majorEastAsia"/>
          <w:sz w:val="30"/>
          <w:szCs w:val="24"/>
        </w:rPr>
        <w:t>日内签订合同，无故不签则视为违约没收投标保证金。签订合同时，共须缴纳履约保证金15万元整，合同期满，在我校报名点报名的所有学员结业后，无任何违约、违规、违法情形的，半月内办理无息退款。</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（1）出现下列情形，可直接终止合同并罚没中标人履约保证金：</w:t>
      </w:r>
    </w:p>
    <w:p>
      <w:pPr>
        <w:spacing w:line="44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中标单位与报名学生签订合同后，中标方不能履行合同内容，无法完成学员培训的；对学员人身不法侵害的；因中标方责任导致车辆事故，造成恶劣影响或导致学生人身严重伤害的；中标方人员在校内寻衅滋事，影响学校安全稳定的；1个月时间内接到学生投诉确需整改达5人次的，需停止招生进行整改，而未能整改到位的</w:t>
      </w:r>
      <w:r>
        <w:rPr>
          <w:rFonts w:hint="eastAsia" w:eastAsia="仿宋" w:asciiTheme="majorEastAsia" w:hAnsiTheme="majorEastAsia"/>
          <w:sz w:val="30"/>
          <w:szCs w:val="32"/>
        </w:rPr>
        <w:t>；乙方有损害甲方声誉和利益的行为的；乙方在投标过程中有弄虚作假的行为；有其他严重损害甲方利益的行为。</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（2）出现下列情形，可对中标人进行处罚：</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不与学员签订告知书的；不能满足学员正当培训权益被投诉的；对学员卡拿要的；巧立名目收费的；在校园内擅自摆摊设点、店外经营的；不服从招标方管理的。按以上情形等，每次给予500元以上扣罚，并要求整改到位。</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3.中标后，在签订合同时需一次性缴纳全年管理费。</w:t>
      </w:r>
    </w:p>
    <w:p>
      <w:pPr>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rPr>
        <w:t>4.驾培服务报名点设在交通服务中心驾驶员办公室，</w:t>
      </w:r>
      <w:r>
        <w:rPr>
          <w:rFonts w:hint="eastAsia" w:eastAsia="仿宋" w:asciiTheme="majorEastAsia" w:hAnsiTheme="majorEastAsia"/>
          <w:sz w:val="30"/>
          <w:szCs w:val="24"/>
          <w:lang w:eastAsia="zh-CN"/>
        </w:rPr>
        <w:t>须服从办公室安排，</w:t>
      </w:r>
      <w:r>
        <w:rPr>
          <w:rFonts w:hint="eastAsia" w:eastAsia="仿宋" w:asciiTheme="majorEastAsia" w:hAnsiTheme="majorEastAsia"/>
          <w:sz w:val="30"/>
          <w:szCs w:val="24"/>
        </w:rPr>
        <w:t>提供办公桌椅1套，与驾驶员共同办公，作息时间与学校同步。交通中心协助招生报名、宣传，不承担驾培机构的如何具体事务，但监督其在校内规范经营、规范服务。</w:t>
      </w:r>
    </w:p>
    <w:p>
      <w:pPr>
        <w:snapToGrid w:val="0"/>
        <w:spacing w:line="360" w:lineRule="exact"/>
        <w:ind w:firstLine="600" w:firstLineChars="200"/>
        <w:rPr>
          <w:rFonts w:hint="eastAsia" w:eastAsia="仿宋" w:asciiTheme="majorEastAsia" w:hAnsiTheme="majorEastAsia"/>
          <w:sz w:val="30"/>
          <w:szCs w:val="24"/>
          <w:lang w:eastAsia="zh-CN"/>
        </w:rPr>
      </w:pPr>
      <w:r>
        <w:rPr>
          <w:rFonts w:hint="eastAsia" w:eastAsia="仿宋" w:asciiTheme="majorEastAsia" w:hAnsiTheme="majorEastAsia"/>
          <w:sz w:val="30"/>
          <w:szCs w:val="24"/>
        </w:rPr>
        <w:t>5.</w:t>
      </w:r>
      <w:r>
        <w:rPr>
          <w:rFonts w:hint="eastAsia" w:eastAsia="仿宋" w:asciiTheme="majorEastAsia" w:hAnsiTheme="majorEastAsia"/>
          <w:sz w:val="30"/>
          <w:szCs w:val="24"/>
          <w:lang w:eastAsia="zh-CN"/>
        </w:rPr>
        <w:t>服从招标方管理，所有校内活动须报学校后勤保障部批准，严禁在校内练车等活动。</w:t>
      </w:r>
    </w:p>
    <w:p>
      <w:pPr>
        <w:snapToGrid w:val="0"/>
        <w:spacing w:line="360" w:lineRule="exact"/>
        <w:ind w:firstLine="600" w:firstLineChars="200"/>
        <w:rPr>
          <w:rFonts w:eastAsia="仿宋" w:asciiTheme="majorEastAsia" w:hAnsiTheme="majorEastAsia"/>
          <w:sz w:val="30"/>
          <w:szCs w:val="24"/>
        </w:rPr>
      </w:pPr>
      <w:r>
        <w:rPr>
          <w:rFonts w:hint="eastAsia" w:eastAsia="仿宋" w:asciiTheme="majorEastAsia" w:hAnsiTheme="majorEastAsia"/>
          <w:sz w:val="30"/>
          <w:szCs w:val="24"/>
          <w:lang w:val="en-US" w:eastAsia="zh-CN"/>
        </w:rPr>
        <w:t>6.</w:t>
      </w:r>
      <w:r>
        <w:rPr>
          <w:rFonts w:hint="eastAsia" w:eastAsia="仿宋" w:asciiTheme="majorEastAsia" w:hAnsiTheme="majorEastAsia"/>
          <w:sz w:val="30"/>
          <w:szCs w:val="24"/>
        </w:rPr>
        <w:t>本次招标的合同期为一年。</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hint="eastAsia" w:eastAsia="仿宋" w:asciiTheme="majorEastAsia" w:hAnsiTheme="majorEastAsia"/>
          <w:sz w:val="30"/>
          <w:szCs w:val="24"/>
          <w:lang w:eastAsia="zh-CN"/>
        </w:rPr>
      </w:pPr>
      <w:r>
        <w:rPr>
          <w:rFonts w:hint="eastAsia" w:eastAsia="仿宋" w:asciiTheme="majorEastAsia" w:hAnsiTheme="majorEastAsia"/>
          <w:sz w:val="30"/>
          <w:szCs w:val="24"/>
          <w:lang w:eastAsia="zh-CN"/>
        </w:rPr>
        <w:t>十、投标与开标</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hint="eastAsia" w:eastAsia="仿宋" w:asciiTheme="majorEastAsia" w:hAnsiTheme="majorEastAsia"/>
          <w:sz w:val="30"/>
          <w:szCs w:val="24"/>
        </w:rPr>
      </w:pPr>
      <w:r>
        <w:rPr>
          <w:rFonts w:hint="eastAsia" w:eastAsia="仿宋" w:asciiTheme="majorEastAsia" w:hAnsiTheme="majorEastAsia"/>
          <w:sz w:val="30"/>
          <w:szCs w:val="24"/>
          <w:lang w:val="en-US" w:eastAsia="zh-CN"/>
        </w:rPr>
        <w:t>1.</w:t>
      </w:r>
      <w:r>
        <w:rPr>
          <w:rFonts w:hint="eastAsia" w:eastAsia="仿宋" w:asciiTheme="majorEastAsia" w:hAnsiTheme="majorEastAsia"/>
          <w:sz w:val="30"/>
          <w:szCs w:val="24"/>
        </w:rPr>
        <w:t>招标文件材料可到南通大学后勤保障部交通服务中心领取或在学校招标信息网页上自行下载。</w:t>
      </w:r>
    </w:p>
    <w:p>
      <w:pPr>
        <w:keepNext w:val="0"/>
        <w:keepLines w:val="0"/>
        <w:pageBreakBefore w:val="0"/>
        <w:widowControl w:val="0"/>
        <w:kinsoku/>
        <w:wordWrap/>
        <w:overflowPunct/>
        <w:topLinePunct w:val="0"/>
        <w:bidi w:val="0"/>
        <w:snapToGrid w:val="0"/>
        <w:spacing w:line="360" w:lineRule="exact"/>
        <w:ind w:firstLine="600" w:firstLineChars="200"/>
        <w:textAlignment w:val="auto"/>
        <w:outlineLvl w:val="9"/>
        <w:rPr>
          <w:rFonts w:eastAsia="仿宋" w:asciiTheme="majorEastAsia" w:hAnsiTheme="majorEastAsia"/>
          <w:sz w:val="30"/>
          <w:szCs w:val="24"/>
        </w:rPr>
      </w:pPr>
      <w:r>
        <w:rPr>
          <w:rFonts w:hint="eastAsia" w:eastAsia="仿宋" w:asciiTheme="majorEastAsia" w:hAnsiTheme="majorEastAsia"/>
          <w:sz w:val="30"/>
          <w:szCs w:val="24"/>
          <w:lang w:val="en-US" w:eastAsia="zh-CN"/>
        </w:rPr>
        <w:t>2.</w:t>
      </w:r>
      <w:r>
        <w:rPr>
          <w:rFonts w:hint="eastAsia" w:eastAsia="仿宋" w:asciiTheme="majorEastAsia" w:hAnsiTheme="majorEastAsia"/>
          <w:sz w:val="30"/>
          <w:szCs w:val="24"/>
        </w:rPr>
        <w:t>各投标单位根据招标</w:t>
      </w:r>
      <w:r>
        <w:rPr>
          <w:rFonts w:hint="eastAsia" w:eastAsia="仿宋" w:asciiTheme="majorEastAsia" w:hAnsiTheme="majorEastAsia"/>
          <w:sz w:val="30"/>
          <w:szCs w:val="24"/>
          <w:lang w:eastAsia="zh-CN"/>
        </w:rPr>
        <w:t>文件</w:t>
      </w:r>
      <w:r>
        <w:rPr>
          <w:rFonts w:hint="eastAsia" w:eastAsia="仿宋" w:asciiTheme="majorEastAsia" w:hAnsiTheme="majorEastAsia"/>
          <w:sz w:val="30"/>
          <w:szCs w:val="24"/>
        </w:rPr>
        <w:t>要求，将技术标和商务标分装文件袋内，在封口上加盖封章。投标文件</w:t>
      </w:r>
      <w:r>
        <w:rPr>
          <w:rFonts w:hint="eastAsia" w:eastAsia="仿宋" w:asciiTheme="majorEastAsia" w:hAnsiTheme="majorEastAsia"/>
          <w:sz w:val="30"/>
          <w:szCs w:val="24"/>
          <w:lang w:eastAsia="zh-CN"/>
        </w:rPr>
        <w:t>于</w:t>
      </w:r>
      <w:r>
        <w:rPr>
          <w:rFonts w:hint="eastAsia" w:eastAsia="仿宋" w:asciiTheme="majorEastAsia" w:hAnsiTheme="majorEastAsia"/>
          <w:sz w:val="30"/>
          <w:szCs w:val="24"/>
          <w:lang w:val="en-US" w:eastAsia="zh-CN"/>
        </w:rPr>
        <w:t>2018年5</w:t>
      </w:r>
      <w:r>
        <w:rPr>
          <w:rFonts w:hint="eastAsia" w:eastAsia="仿宋" w:asciiTheme="majorEastAsia" w:hAnsiTheme="majorEastAsia"/>
          <w:sz w:val="30"/>
          <w:szCs w:val="24"/>
        </w:rPr>
        <w:t>月</w:t>
      </w:r>
      <w:r>
        <w:rPr>
          <w:rFonts w:hint="eastAsia" w:eastAsia="仿宋" w:asciiTheme="majorEastAsia" w:hAnsiTheme="majorEastAsia"/>
          <w:sz w:val="30"/>
          <w:szCs w:val="24"/>
          <w:lang w:val="en-US" w:eastAsia="zh-CN"/>
        </w:rPr>
        <w:t>18</w:t>
      </w:r>
      <w:r>
        <w:rPr>
          <w:rFonts w:hint="eastAsia" w:eastAsia="仿宋" w:asciiTheme="majorEastAsia" w:hAnsiTheme="majorEastAsia"/>
          <w:sz w:val="30"/>
          <w:szCs w:val="24"/>
        </w:rPr>
        <w:t>日8:30</w:t>
      </w:r>
      <w:r>
        <w:rPr>
          <w:rFonts w:eastAsia="仿宋" w:asciiTheme="majorEastAsia" w:hAnsiTheme="majorEastAsia"/>
          <w:sz w:val="30"/>
          <w:szCs w:val="24"/>
        </w:rPr>
        <w:t>—</w:t>
      </w:r>
      <w:r>
        <w:rPr>
          <w:rFonts w:hint="eastAsia" w:eastAsia="仿宋" w:asciiTheme="majorEastAsia" w:hAnsiTheme="majorEastAsia"/>
          <w:sz w:val="30"/>
          <w:szCs w:val="24"/>
        </w:rPr>
        <w:t>9:30送至南通大学综合楼416会议室</w:t>
      </w:r>
      <w:r>
        <w:rPr>
          <w:rFonts w:hint="eastAsia" w:eastAsia="仿宋" w:asciiTheme="majorEastAsia" w:hAnsiTheme="majorEastAsia"/>
          <w:sz w:val="30"/>
          <w:szCs w:val="24"/>
          <w:lang w:eastAsia="zh-CN"/>
        </w:rPr>
        <w:t>。</w:t>
      </w:r>
      <w:r>
        <w:rPr>
          <w:rFonts w:hint="eastAsia" w:ascii="仿宋" w:hAnsi="仿宋" w:eastAsia="仿宋"/>
          <w:sz w:val="30"/>
          <w:szCs w:val="30"/>
          <w:lang w:eastAsia="zh-CN"/>
        </w:rPr>
        <w:t>文件送达时，缴纳购买标书费每份</w:t>
      </w:r>
      <w:r>
        <w:rPr>
          <w:rFonts w:hint="eastAsia" w:ascii="仿宋" w:hAnsi="仿宋" w:eastAsia="仿宋"/>
          <w:sz w:val="30"/>
          <w:szCs w:val="30"/>
          <w:lang w:val="en-US" w:eastAsia="zh-CN"/>
        </w:rPr>
        <w:t>300元，无论结果如何，概不退还。</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eastAsia="仿宋" w:asciiTheme="majorEastAsia" w:hAnsiTheme="majorEastAsia"/>
          <w:sz w:val="30"/>
          <w:szCs w:val="24"/>
        </w:rPr>
      </w:pPr>
      <w:r>
        <w:rPr>
          <w:rFonts w:hint="eastAsia" w:eastAsia="仿宋" w:asciiTheme="majorEastAsia" w:hAnsiTheme="majorEastAsia"/>
          <w:sz w:val="30"/>
          <w:szCs w:val="24"/>
          <w:lang w:val="en-US" w:eastAsia="zh-CN"/>
        </w:rPr>
        <w:t>3.</w:t>
      </w:r>
      <w:r>
        <w:rPr>
          <w:rFonts w:hint="eastAsia" w:eastAsia="仿宋" w:asciiTheme="majorEastAsia" w:hAnsiTheme="majorEastAsia"/>
          <w:sz w:val="30"/>
          <w:szCs w:val="24"/>
        </w:rPr>
        <w:t>开标时间：投标截止时间即为开标时间。</w:t>
      </w:r>
    </w:p>
    <w:p>
      <w:pPr>
        <w:keepNext w:val="0"/>
        <w:keepLines w:val="0"/>
        <w:pageBreakBefore w:val="0"/>
        <w:widowControl w:val="0"/>
        <w:kinsoku/>
        <w:wordWrap/>
        <w:overflowPunct/>
        <w:topLinePunct w:val="0"/>
        <w:autoSpaceDE/>
        <w:autoSpaceDN/>
        <w:bidi w:val="0"/>
        <w:adjustRightInd/>
        <w:spacing w:line="360" w:lineRule="exact"/>
        <w:ind w:left="0" w:leftChars="0" w:right="0" w:rightChars="0" w:firstLine="600" w:firstLineChars="200"/>
        <w:jc w:val="both"/>
        <w:textAlignment w:val="auto"/>
        <w:outlineLvl w:val="9"/>
        <w:rPr>
          <w:rFonts w:hint="eastAsia" w:eastAsia="仿宋" w:asciiTheme="majorEastAsia" w:hAnsiTheme="majorEastAsia"/>
          <w:sz w:val="30"/>
          <w:szCs w:val="24"/>
        </w:rPr>
      </w:pPr>
      <w:r>
        <w:rPr>
          <w:rFonts w:hint="eastAsia" w:eastAsia="仿宋" w:asciiTheme="majorEastAsia" w:hAnsiTheme="majorEastAsia"/>
          <w:sz w:val="30"/>
          <w:szCs w:val="24"/>
          <w:lang w:val="en-US" w:eastAsia="zh-CN"/>
        </w:rPr>
        <w:t>4</w:t>
      </w:r>
      <w:r>
        <w:rPr>
          <w:rFonts w:hint="eastAsia" w:eastAsia="仿宋" w:asciiTheme="majorEastAsia" w:hAnsiTheme="majorEastAsia"/>
          <w:sz w:val="30"/>
          <w:szCs w:val="24"/>
        </w:rPr>
        <w:t>.所有</w:t>
      </w:r>
      <w:r>
        <w:rPr>
          <w:rFonts w:hint="eastAsia" w:eastAsia="仿宋" w:asciiTheme="majorEastAsia" w:hAnsiTheme="majorEastAsia"/>
          <w:sz w:val="30"/>
          <w:szCs w:val="24"/>
          <w:lang w:eastAsia="zh-CN"/>
        </w:rPr>
        <w:t>投</w:t>
      </w:r>
      <w:r>
        <w:rPr>
          <w:rFonts w:hint="eastAsia" w:eastAsia="仿宋" w:asciiTheme="majorEastAsia" w:hAnsiTheme="majorEastAsia"/>
          <w:sz w:val="30"/>
          <w:szCs w:val="24"/>
        </w:rPr>
        <w:t>标文件概不退还</w:t>
      </w:r>
      <w:r>
        <w:rPr>
          <w:rFonts w:hint="eastAsia" w:eastAsia="仿宋" w:asciiTheme="majorEastAsia" w:hAnsiTheme="majorEastAsia"/>
          <w:sz w:val="30"/>
          <w:szCs w:val="24"/>
          <w:lang w:val="en-US" w:eastAsia="zh-CN"/>
        </w:rPr>
        <w:t>,招投标文件</w:t>
      </w:r>
      <w:r>
        <w:rPr>
          <w:rFonts w:hint="eastAsia" w:eastAsia="仿宋"/>
          <w:sz w:val="30"/>
          <w:lang w:eastAsia="zh-CN"/>
        </w:rPr>
        <w:t>均具有法律效应。中标方文件作为合同附件。</w:t>
      </w:r>
    </w:p>
    <w:p>
      <w:pPr>
        <w:keepNext w:val="0"/>
        <w:keepLines w:val="0"/>
        <w:pageBreakBefore w:val="0"/>
        <w:widowControl w:val="0"/>
        <w:kinsoku/>
        <w:wordWrap/>
        <w:overflowPunct/>
        <w:topLinePunct w:val="0"/>
        <w:autoSpaceDE/>
        <w:autoSpaceDN/>
        <w:bidi w:val="0"/>
        <w:adjustRightInd/>
        <w:spacing w:line="360" w:lineRule="exact"/>
        <w:ind w:left="0" w:leftChars="0" w:right="0" w:rightChars="0" w:firstLine="600" w:firstLineChars="200"/>
        <w:jc w:val="both"/>
        <w:textAlignment w:val="auto"/>
        <w:outlineLvl w:val="9"/>
        <w:rPr>
          <w:rFonts w:hint="eastAsia" w:eastAsia="仿宋"/>
          <w:sz w:val="30"/>
          <w:lang w:eastAsia="zh-CN"/>
        </w:rPr>
      </w:pP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w:t>
      </w:r>
      <w:r>
        <w:rPr>
          <w:rFonts w:hint="eastAsia" w:eastAsia="仿宋" w:asciiTheme="majorEastAsia" w:hAnsiTheme="majorEastAsia"/>
          <w:sz w:val="30"/>
          <w:szCs w:val="24"/>
          <w:lang w:eastAsia="zh-CN"/>
        </w:rPr>
        <w:t>充分考虑经营风险，为满足学生驾培需求，学校可能不限于此次招投标。</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eastAsia="仿宋" w:asciiTheme="majorEastAsia" w:hAnsiTheme="majorEastAsia"/>
          <w:sz w:val="30"/>
          <w:szCs w:val="24"/>
        </w:rPr>
      </w:pPr>
      <w:r>
        <w:rPr>
          <w:rFonts w:hint="eastAsia" w:eastAsia="仿宋" w:asciiTheme="majorEastAsia" w:hAnsiTheme="majorEastAsia"/>
          <w:sz w:val="30"/>
          <w:szCs w:val="24"/>
          <w:lang w:val="en-US" w:eastAsia="zh-CN"/>
        </w:rPr>
        <w:t>6</w:t>
      </w:r>
      <w:r>
        <w:rPr>
          <w:rFonts w:hint="eastAsia" w:eastAsia="仿宋" w:asciiTheme="majorEastAsia" w:hAnsiTheme="majorEastAsia"/>
          <w:sz w:val="30"/>
          <w:szCs w:val="24"/>
        </w:rPr>
        <w:t>.发现围标、串标、弄虚作假的一律取消资格，情节严重的依法追究相关责任人的法律责任。</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eastAsia="仿宋" w:asciiTheme="majorEastAsia" w:hAnsiTheme="majorEastAsia"/>
          <w:sz w:val="30"/>
          <w:szCs w:val="24"/>
        </w:rPr>
      </w:pPr>
      <w:r>
        <w:rPr>
          <w:rFonts w:hint="eastAsia" w:eastAsia="仿宋" w:asciiTheme="majorEastAsia" w:hAnsiTheme="majorEastAsia"/>
          <w:sz w:val="30"/>
          <w:szCs w:val="24"/>
          <w:lang w:val="en-US" w:eastAsia="zh-CN"/>
        </w:rPr>
        <w:t>7</w:t>
      </w:r>
      <w:r>
        <w:rPr>
          <w:rFonts w:hint="eastAsia" w:eastAsia="仿宋" w:asciiTheme="majorEastAsia" w:hAnsiTheme="majorEastAsia"/>
          <w:sz w:val="30"/>
          <w:szCs w:val="24"/>
        </w:rPr>
        <w:t>.中标结果在学校招标信息网页上公布，不再另行通知。</w:t>
      </w:r>
    </w:p>
    <w:p>
      <w:pPr>
        <w:keepNext w:val="0"/>
        <w:keepLines w:val="0"/>
        <w:pageBreakBefore w:val="0"/>
        <w:widowControl w:val="0"/>
        <w:kinsoku/>
        <w:wordWrap/>
        <w:overflowPunct/>
        <w:topLinePunct w:val="0"/>
        <w:autoSpaceDE/>
        <w:autoSpaceDN/>
        <w:bidi w:val="0"/>
        <w:adjustRightInd/>
        <w:snapToGrid w:val="0"/>
        <w:spacing w:line="360" w:lineRule="exact"/>
        <w:ind w:left="0" w:leftChars="0" w:right="0" w:rightChars="0" w:firstLine="600" w:firstLineChars="200"/>
        <w:jc w:val="both"/>
        <w:textAlignment w:val="auto"/>
        <w:outlineLvl w:val="9"/>
        <w:rPr>
          <w:rFonts w:eastAsia="仿宋" w:asciiTheme="majorEastAsia" w:hAnsiTheme="majorEastAsia"/>
          <w:sz w:val="30"/>
          <w:szCs w:val="24"/>
        </w:rPr>
      </w:pPr>
      <w:r>
        <w:rPr>
          <w:rFonts w:hint="eastAsia" w:eastAsia="仿宋" w:asciiTheme="majorEastAsia" w:hAnsiTheme="majorEastAsia"/>
          <w:sz w:val="30"/>
          <w:szCs w:val="24"/>
          <w:lang w:val="en-US" w:eastAsia="zh-CN"/>
        </w:rPr>
        <w:t>8</w:t>
      </w:r>
      <w:r>
        <w:rPr>
          <w:rFonts w:hint="eastAsia" w:eastAsia="仿宋" w:asciiTheme="majorEastAsia" w:hAnsiTheme="majorEastAsia"/>
          <w:sz w:val="30"/>
          <w:szCs w:val="24"/>
        </w:rPr>
        <w:t>.</w:t>
      </w:r>
      <w:r>
        <w:rPr>
          <w:rFonts w:hint="eastAsia" w:eastAsia="仿宋" w:asciiTheme="majorEastAsia" w:hAnsiTheme="majorEastAsia"/>
          <w:sz w:val="30"/>
          <w:szCs w:val="24"/>
          <w:lang w:eastAsia="zh-CN"/>
        </w:rPr>
        <w:t>报名点</w:t>
      </w:r>
      <w:r>
        <w:rPr>
          <w:rFonts w:hint="eastAsia" w:eastAsia="仿宋" w:asciiTheme="majorEastAsia" w:hAnsiTheme="majorEastAsia"/>
          <w:sz w:val="30"/>
          <w:szCs w:val="24"/>
        </w:rPr>
        <w:t>业务咨询联系人：胡老师，电话：85012205；招投标业务咨询联系人：汤老师，娄老师  电话：85012891</w:t>
      </w:r>
    </w:p>
    <w:p>
      <w:pPr>
        <w:keepNext w:val="0"/>
        <w:keepLines w:val="0"/>
        <w:pageBreakBefore w:val="0"/>
        <w:widowControl w:val="0"/>
        <w:kinsoku/>
        <w:wordWrap/>
        <w:overflowPunct/>
        <w:topLinePunct w:val="0"/>
        <w:autoSpaceDE/>
        <w:autoSpaceDN/>
        <w:bidi w:val="0"/>
        <w:adjustRightInd/>
        <w:snapToGrid w:val="0"/>
        <w:spacing w:line="360" w:lineRule="exact"/>
        <w:ind w:right="0" w:rightChars="0" w:firstLine="600" w:firstLineChars="200"/>
        <w:textAlignment w:val="auto"/>
        <w:rPr>
          <w:rFonts w:eastAsia="仿宋" w:asciiTheme="majorEastAsia" w:hAnsiTheme="majorEastAsia"/>
          <w:sz w:val="30"/>
          <w:szCs w:val="24"/>
        </w:rPr>
      </w:pPr>
    </w:p>
    <w:p>
      <w:pPr>
        <w:keepNext w:val="0"/>
        <w:keepLines w:val="0"/>
        <w:pageBreakBefore w:val="0"/>
        <w:widowControl w:val="0"/>
        <w:kinsoku/>
        <w:wordWrap/>
        <w:overflowPunct/>
        <w:topLinePunct w:val="0"/>
        <w:bidi w:val="0"/>
        <w:snapToGrid w:val="0"/>
        <w:spacing w:line="400" w:lineRule="exact"/>
        <w:ind w:right="0" w:rightChars="0"/>
        <w:textAlignment w:val="auto"/>
        <w:rPr>
          <w:rFonts w:eastAsia="仿宋" w:asciiTheme="majorEastAsia" w:hAnsiTheme="majorEastAsia"/>
          <w:sz w:val="30"/>
          <w:szCs w:val="24"/>
        </w:rPr>
      </w:pPr>
      <w:r>
        <w:rPr>
          <w:rFonts w:hint="eastAsia" w:eastAsia="仿宋" w:asciiTheme="majorEastAsia" w:hAnsiTheme="majorEastAsia"/>
          <w:sz w:val="30"/>
          <w:szCs w:val="24"/>
        </w:rPr>
        <w:t>附件：1.</w:t>
      </w:r>
      <w:r>
        <w:rPr>
          <w:rFonts w:hint="eastAsia" w:eastAsia="仿宋" w:asciiTheme="majorEastAsia" w:hAnsiTheme="majorEastAsia"/>
          <w:sz w:val="30"/>
          <w:szCs w:val="24"/>
          <w:lang w:eastAsia="zh-CN"/>
        </w:rPr>
        <w:t>商务报价单</w:t>
      </w:r>
    </w:p>
    <w:p>
      <w:pPr>
        <w:keepNext w:val="0"/>
        <w:keepLines w:val="0"/>
        <w:pageBreakBefore w:val="0"/>
        <w:widowControl w:val="0"/>
        <w:kinsoku/>
        <w:wordWrap/>
        <w:overflowPunct/>
        <w:topLinePunct w:val="0"/>
        <w:bidi w:val="0"/>
        <w:snapToGrid w:val="0"/>
        <w:spacing w:line="400" w:lineRule="exact"/>
        <w:ind w:right="0" w:rightChars="0" w:firstLine="900" w:firstLineChars="300"/>
        <w:textAlignment w:val="auto"/>
        <w:rPr>
          <w:rFonts w:eastAsia="仿宋" w:asciiTheme="majorEastAsia" w:hAnsiTheme="majorEastAsia"/>
          <w:sz w:val="30"/>
          <w:szCs w:val="24"/>
        </w:rPr>
      </w:pPr>
      <w:r>
        <w:rPr>
          <w:rFonts w:hint="eastAsia" w:eastAsia="仿宋" w:asciiTheme="majorEastAsia" w:hAnsiTheme="majorEastAsia"/>
          <w:sz w:val="30"/>
          <w:szCs w:val="24"/>
        </w:rPr>
        <w:t xml:space="preserve">2.合同样本             </w:t>
      </w:r>
    </w:p>
    <w:p>
      <w:pPr>
        <w:keepNext w:val="0"/>
        <w:keepLines w:val="0"/>
        <w:pageBreakBefore w:val="0"/>
        <w:widowControl w:val="0"/>
        <w:kinsoku/>
        <w:wordWrap/>
        <w:overflowPunct/>
        <w:topLinePunct w:val="0"/>
        <w:bidi w:val="0"/>
        <w:snapToGrid w:val="0"/>
        <w:spacing w:line="400" w:lineRule="exact"/>
        <w:ind w:right="0" w:rightChars="0" w:firstLine="600" w:firstLineChars="200"/>
        <w:jc w:val="center"/>
        <w:textAlignment w:val="auto"/>
        <w:rPr>
          <w:rFonts w:eastAsia="仿宋" w:asciiTheme="majorEastAsia" w:hAnsiTheme="majorEastAsia"/>
          <w:sz w:val="30"/>
          <w:szCs w:val="24"/>
        </w:rPr>
      </w:pPr>
    </w:p>
    <w:p>
      <w:pPr>
        <w:keepNext w:val="0"/>
        <w:keepLines w:val="0"/>
        <w:pageBreakBefore w:val="0"/>
        <w:widowControl w:val="0"/>
        <w:kinsoku/>
        <w:wordWrap/>
        <w:overflowPunct/>
        <w:topLinePunct w:val="0"/>
        <w:bidi w:val="0"/>
        <w:snapToGrid w:val="0"/>
        <w:spacing w:line="400" w:lineRule="exact"/>
        <w:ind w:right="0" w:rightChars="0" w:firstLine="600" w:firstLineChars="200"/>
        <w:jc w:val="center"/>
        <w:textAlignment w:val="auto"/>
        <w:rPr>
          <w:rFonts w:eastAsia="仿宋" w:asciiTheme="majorEastAsia" w:hAnsiTheme="majorEastAsia"/>
          <w:sz w:val="30"/>
          <w:szCs w:val="24"/>
        </w:rPr>
      </w:pPr>
    </w:p>
    <w:p>
      <w:pPr>
        <w:keepNext w:val="0"/>
        <w:keepLines w:val="0"/>
        <w:pageBreakBefore w:val="0"/>
        <w:widowControl w:val="0"/>
        <w:kinsoku/>
        <w:wordWrap/>
        <w:overflowPunct/>
        <w:topLinePunct w:val="0"/>
        <w:bidi w:val="0"/>
        <w:snapToGrid w:val="0"/>
        <w:spacing w:line="400" w:lineRule="exact"/>
        <w:ind w:right="0" w:rightChars="0" w:firstLine="600" w:firstLineChars="200"/>
        <w:jc w:val="center"/>
        <w:textAlignment w:val="auto"/>
        <w:rPr>
          <w:rFonts w:eastAsia="仿宋" w:asciiTheme="majorEastAsia" w:hAnsiTheme="majorEastAsia"/>
          <w:sz w:val="30"/>
          <w:szCs w:val="24"/>
        </w:rPr>
      </w:pPr>
      <w:r>
        <w:rPr>
          <w:rFonts w:hint="eastAsia" w:eastAsia="仿宋" w:asciiTheme="majorEastAsia" w:hAnsiTheme="majorEastAsia"/>
          <w:sz w:val="30"/>
          <w:szCs w:val="24"/>
        </w:rPr>
        <w:t xml:space="preserve">                             南通大学</w:t>
      </w:r>
    </w:p>
    <w:p>
      <w:pPr>
        <w:keepNext w:val="0"/>
        <w:keepLines w:val="0"/>
        <w:pageBreakBefore w:val="0"/>
        <w:widowControl w:val="0"/>
        <w:kinsoku/>
        <w:wordWrap/>
        <w:overflowPunct/>
        <w:topLinePunct w:val="0"/>
        <w:bidi w:val="0"/>
        <w:snapToGrid w:val="0"/>
        <w:spacing w:line="400" w:lineRule="exact"/>
        <w:ind w:right="0" w:rightChars="0" w:firstLine="5400" w:firstLineChars="1800"/>
        <w:textAlignment w:val="auto"/>
        <w:rPr>
          <w:rFonts w:hint="eastAsia" w:eastAsia="仿宋" w:asciiTheme="majorEastAsia" w:hAnsiTheme="majorEastAsia"/>
          <w:sz w:val="30"/>
          <w:szCs w:val="24"/>
        </w:rPr>
      </w:pPr>
      <w:r>
        <w:rPr>
          <w:rFonts w:hint="eastAsia" w:eastAsia="仿宋" w:asciiTheme="majorEastAsia" w:hAnsiTheme="majorEastAsia"/>
          <w:sz w:val="30"/>
          <w:szCs w:val="24"/>
        </w:rPr>
        <w:t>2018年</w:t>
      </w:r>
      <w:r>
        <w:rPr>
          <w:rFonts w:hint="eastAsia" w:eastAsia="仿宋" w:asciiTheme="majorEastAsia" w:hAnsiTheme="majorEastAsia"/>
          <w:sz w:val="30"/>
          <w:szCs w:val="24"/>
          <w:lang w:val="en-US" w:eastAsia="zh-CN"/>
        </w:rPr>
        <w:t>5</w:t>
      </w:r>
      <w:r>
        <w:rPr>
          <w:rFonts w:hint="eastAsia" w:eastAsia="仿宋" w:asciiTheme="majorEastAsia" w:hAnsiTheme="majorEastAsia"/>
          <w:sz w:val="30"/>
          <w:szCs w:val="24"/>
        </w:rPr>
        <w:t>月</w:t>
      </w:r>
      <w:r>
        <w:rPr>
          <w:rFonts w:hint="eastAsia" w:eastAsia="仿宋" w:asciiTheme="majorEastAsia" w:hAnsiTheme="majorEastAsia"/>
          <w:sz w:val="30"/>
          <w:szCs w:val="24"/>
          <w:lang w:val="en-US" w:eastAsia="zh-CN"/>
        </w:rPr>
        <w:t>10</w:t>
      </w:r>
      <w:r>
        <w:rPr>
          <w:rFonts w:hint="eastAsia" w:eastAsia="仿宋" w:asciiTheme="majorEastAsia" w:hAnsiTheme="majorEastAsia"/>
          <w:sz w:val="30"/>
          <w:szCs w:val="24"/>
        </w:rPr>
        <w:t>日</w:t>
      </w: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r>
        <w:rPr>
          <w:rFonts w:hint="eastAsia" w:eastAsia="仿宋" w:asciiTheme="majorEastAsia" w:hAnsiTheme="majorEastAsia"/>
          <w:sz w:val="30"/>
          <w:szCs w:val="24"/>
          <w:lang w:val="en-US" w:eastAsia="zh-CN"/>
        </w:rPr>
        <w:t>附件：</w:t>
      </w: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600" w:firstLineChars="200"/>
        <w:textAlignment w:val="auto"/>
        <w:rPr>
          <w:rFonts w:hint="eastAsia" w:eastAsia="仿宋" w:asciiTheme="majorEastAsia" w:hAnsiTheme="majorEastAsia"/>
          <w:sz w:val="30"/>
          <w:szCs w:val="24"/>
          <w:lang w:val="en-US" w:eastAsia="zh-CN"/>
        </w:rPr>
      </w:pPr>
      <w:r>
        <w:rPr>
          <w:rFonts w:hint="eastAsia" w:eastAsia="仿宋" w:asciiTheme="majorEastAsia" w:hAnsiTheme="majorEastAsia"/>
          <w:sz w:val="30"/>
          <w:szCs w:val="24"/>
          <w:lang w:val="en-US" w:eastAsia="zh-CN"/>
        </w:rPr>
        <w:t>1.商务报价单</w:t>
      </w: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lang w:val="en-US" w:eastAsia="zh-CN"/>
        </w:rPr>
      </w:pPr>
      <w:r>
        <w:rPr>
          <w:rFonts w:hint="eastAsia" w:ascii="仿宋" w:hAnsi="仿宋" w:eastAsia="仿宋" w:cs="仿宋"/>
          <w:sz w:val="30"/>
          <w:szCs w:val="24"/>
          <w:lang w:val="en-US" w:eastAsia="zh-CN"/>
        </w:rPr>
        <w:t xml:space="preserve">         南通大学驾培服务报名点管理费报价单</w:t>
      </w:r>
    </w:p>
    <w:tbl>
      <w:tblPr>
        <w:tblStyle w:val="7"/>
        <w:tblW w:w="7603" w:type="dxa"/>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6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0" w:hRule="atLeast"/>
        </w:trPr>
        <w:tc>
          <w:tcPr>
            <w:tcW w:w="1140" w:type="dxa"/>
            <w:vMerge w:val="restart"/>
          </w:tcPr>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报价</w:t>
            </w:r>
          </w:p>
        </w:tc>
        <w:tc>
          <w:tcPr>
            <w:tcW w:w="6463" w:type="dxa"/>
          </w:tcPr>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5" w:hRule="atLeast"/>
        </w:trPr>
        <w:tc>
          <w:tcPr>
            <w:tcW w:w="1140" w:type="dxa"/>
            <w:vMerge w:val="continue"/>
          </w:tcPr>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tc>
        <w:tc>
          <w:tcPr>
            <w:tcW w:w="6463" w:type="dxa"/>
          </w:tcPr>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trPr>
        <w:tc>
          <w:tcPr>
            <w:tcW w:w="1140" w:type="dxa"/>
          </w:tcPr>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说明</w:t>
            </w:r>
          </w:p>
        </w:tc>
        <w:tc>
          <w:tcPr>
            <w:tcW w:w="6463" w:type="dxa"/>
          </w:tcPr>
          <w:p>
            <w:pPr>
              <w:keepNext w:val="0"/>
              <w:keepLines w:val="0"/>
              <w:pageBreakBefore w:val="0"/>
              <w:widowControl w:val="0"/>
              <w:numPr>
                <w:ilvl w:val="0"/>
                <w:numId w:val="1"/>
              </w:numPr>
              <w:tabs>
                <w:tab w:val="clear" w:pos="312"/>
              </w:tabs>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按1年报价。</w:t>
            </w:r>
          </w:p>
          <w:p>
            <w:pPr>
              <w:keepNext w:val="0"/>
              <w:keepLines w:val="0"/>
              <w:pageBreakBefore w:val="0"/>
              <w:widowControl w:val="0"/>
              <w:numPr>
                <w:ilvl w:val="0"/>
                <w:numId w:val="1"/>
              </w:numPr>
              <w:tabs>
                <w:tab w:val="clear" w:pos="312"/>
              </w:tabs>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少于5万元/年报价为废标。</w:t>
            </w:r>
          </w:p>
          <w:p>
            <w:pPr>
              <w:keepNext w:val="0"/>
              <w:keepLines w:val="0"/>
              <w:pageBreakBefore w:val="0"/>
              <w:widowControl w:val="0"/>
              <w:numPr>
                <w:ilvl w:val="0"/>
                <w:numId w:val="1"/>
              </w:numPr>
              <w:tabs>
                <w:tab w:val="clear" w:pos="312"/>
              </w:tabs>
              <w:kinsoku/>
              <w:wordWrap/>
              <w:overflowPunct/>
              <w:topLinePunct w:val="0"/>
              <w:bidi w:val="0"/>
              <w:snapToGrid w:val="0"/>
              <w:spacing w:line="400" w:lineRule="exact"/>
              <w:ind w:right="0" w:rightChars="0"/>
              <w:textAlignment w:val="auto"/>
              <w:rPr>
                <w:rFonts w:hint="eastAsia" w:ascii="仿宋" w:hAnsi="仿宋" w:eastAsia="仿宋" w:cs="仿宋"/>
                <w:sz w:val="30"/>
                <w:szCs w:val="24"/>
                <w:vertAlign w:val="baseline"/>
                <w:lang w:val="en-US" w:eastAsia="zh-CN"/>
              </w:rPr>
            </w:pPr>
            <w:r>
              <w:rPr>
                <w:rFonts w:hint="eastAsia" w:ascii="仿宋" w:hAnsi="仿宋" w:eastAsia="仿宋" w:cs="仿宋"/>
                <w:sz w:val="30"/>
                <w:szCs w:val="24"/>
                <w:vertAlign w:val="baseline"/>
                <w:lang w:val="en-US" w:eastAsia="zh-CN"/>
              </w:rPr>
              <w:t>可精确到个位。</w:t>
            </w:r>
          </w:p>
        </w:tc>
      </w:tr>
    </w:tbl>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ascii="仿宋" w:hAnsi="仿宋" w:eastAsia="仿宋" w:cs="仿宋"/>
          <w:sz w:val="30"/>
          <w:szCs w:val="24"/>
          <w:lang w:val="en-US" w:eastAsia="zh-CN"/>
        </w:rPr>
      </w:pPr>
      <w:r>
        <w:rPr>
          <w:rFonts w:hint="eastAsia" w:ascii="仿宋" w:hAnsi="仿宋" w:eastAsia="仿宋" w:cs="仿宋"/>
          <w:sz w:val="30"/>
          <w:szCs w:val="24"/>
          <w:lang w:val="en-US" w:eastAsia="zh-CN"/>
        </w:rPr>
        <w:t xml:space="preserve">            </w:t>
      </w: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1200" w:firstLineChars="400"/>
        <w:textAlignment w:val="auto"/>
        <w:rPr>
          <w:rFonts w:hint="eastAsia" w:ascii="仿宋" w:hAnsi="仿宋" w:eastAsia="仿宋" w:cs="仿宋"/>
          <w:sz w:val="30"/>
          <w:szCs w:val="24"/>
          <w:lang w:val="en-US" w:eastAsia="zh-CN"/>
        </w:rPr>
      </w:pPr>
      <w:r>
        <w:rPr>
          <w:rFonts w:hint="eastAsia" w:ascii="仿宋" w:hAnsi="仿宋" w:eastAsia="仿宋" w:cs="仿宋"/>
          <w:sz w:val="30"/>
          <w:szCs w:val="24"/>
          <w:lang w:val="en-US" w:eastAsia="zh-CN"/>
        </w:rPr>
        <w:t>报价单位：                  （公章）</w:t>
      </w: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3000" w:firstLineChars="10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r>
        <w:rPr>
          <w:rFonts w:hint="eastAsia" w:ascii="仿宋" w:hAnsi="仿宋" w:eastAsia="仿宋" w:cs="仿宋"/>
          <w:sz w:val="30"/>
          <w:szCs w:val="24"/>
          <w:lang w:val="en-US" w:eastAsia="zh-CN"/>
        </w:rPr>
        <w:t>2018年5月  日</w:t>
      </w: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firstLine="4800" w:firstLineChars="160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leftChars="100" w:right="0" w:rightChars="0" w:firstLine="300" w:firstLineChars="100"/>
        <w:textAlignment w:val="auto"/>
        <w:rPr>
          <w:rFonts w:hint="eastAsia" w:ascii="仿宋" w:hAnsi="仿宋" w:eastAsia="仿宋" w:cs="仿宋"/>
          <w:sz w:val="30"/>
          <w:szCs w:val="24"/>
          <w:lang w:val="en-US" w:eastAsia="zh-CN"/>
        </w:rPr>
      </w:pPr>
      <w:r>
        <w:rPr>
          <w:rFonts w:hint="eastAsia" w:ascii="仿宋" w:hAnsi="仿宋" w:eastAsia="仿宋" w:cs="仿宋"/>
          <w:sz w:val="30"/>
          <w:szCs w:val="24"/>
          <w:lang w:val="en-US" w:eastAsia="zh-CN"/>
        </w:rPr>
        <w:t>2.合同样本</w:t>
      </w:r>
    </w:p>
    <w:p>
      <w:pPr>
        <w:keepNext w:val="0"/>
        <w:keepLines w:val="0"/>
        <w:pageBreakBefore w:val="0"/>
        <w:widowControl w:val="0"/>
        <w:numPr>
          <w:ilvl w:val="0"/>
          <w:numId w:val="0"/>
        </w:numPr>
        <w:kinsoku/>
        <w:wordWrap/>
        <w:overflowPunct/>
        <w:topLinePunct w:val="0"/>
        <w:bidi w:val="0"/>
        <w:snapToGrid w:val="0"/>
        <w:spacing w:line="400" w:lineRule="exact"/>
        <w:ind w:leftChars="100" w:right="0" w:rightChars="0"/>
        <w:textAlignment w:val="auto"/>
        <w:rPr>
          <w:rFonts w:hint="eastAsia" w:ascii="仿宋" w:hAnsi="仿宋" w:eastAsia="仿宋" w:cs="仿宋"/>
          <w:sz w:val="30"/>
          <w:szCs w:val="24"/>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3520" w:firstLineChars="800"/>
        <w:textAlignment w:val="auto"/>
        <w:outlineLvl w:val="9"/>
        <w:rPr>
          <w:rFonts w:hint="eastAsia" w:eastAsia="仿宋" w:asciiTheme="majorEastAsia" w:hAnsiTheme="majorEastAsia"/>
          <w:sz w:val="44"/>
          <w:szCs w:val="44"/>
          <w:lang w:val="en-US" w:eastAsia="zh-CN"/>
        </w:rPr>
      </w:pPr>
      <w:r>
        <w:rPr>
          <w:rFonts w:hint="eastAsia" w:eastAsia="仿宋" w:asciiTheme="majorEastAsia" w:hAnsiTheme="majorEastAsia"/>
          <w:sz w:val="44"/>
          <w:szCs w:val="44"/>
          <w:lang w:val="en-US" w:eastAsia="zh-CN"/>
        </w:rPr>
        <w:t>合   同</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甲方：南通大学</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乙方：</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经过公开招标，现由</w:t>
      </w:r>
      <w:r>
        <w:rPr>
          <w:rFonts w:hint="eastAsia" w:eastAsia="仿宋" w:asciiTheme="majorEastAsia" w:hAnsiTheme="majorEastAsia"/>
          <w:sz w:val="30"/>
          <w:szCs w:val="32"/>
          <w:u w:val="single"/>
          <w:lang w:val="en-US" w:eastAsia="zh-CN"/>
        </w:rPr>
        <w:t xml:space="preserve">                         </w:t>
      </w:r>
      <w:r>
        <w:rPr>
          <w:rFonts w:hint="eastAsia" w:eastAsia="仿宋" w:asciiTheme="majorEastAsia" w:hAnsiTheme="majorEastAsia"/>
          <w:sz w:val="30"/>
          <w:szCs w:val="32"/>
          <w:lang w:val="en-US" w:eastAsia="zh-CN"/>
        </w:rPr>
        <w:t xml:space="preserve">  （以下称乙方）在南通大学（以下称甲方）设立汽车驾驶培训服务报名点，并按中标价</w:t>
      </w:r>
      <w:r>
        <w:rPr>
          <w:rFonts w:hint="eastAsia" w:eastAsia="仿宋" w:asciiTheme="majorEastAsia" w:hAnsiTheme="majorEastAsia"/>
          <w:sz w:val="30"/>
          <w:szCs w:val="32"/>
          <w:u w:val="single"/>
          <w:lang w:val="en-US" w:eastAsia="zh-CN"/>
        </w:rPr>
        <w:t xml:space="preserve">           万元/年</w:t>
      </w:r>
      <w:r>
        <w:rPr>
          <w:rFonts w:hint="eastAsia" w:eastAsia="仿宋" w:asciiTheme="majorEastAsia" w:hAnsiTheme="majorEastAsia"/>
          <w:sz w:val="30"/>
          <w:szCs w:val="32"/>
          <w:u w:val="none"/>
          <w:lang w:val="en-US" w:eastAsia="zh-CN"/>
        </w:rPr>
        <w:t>向甲方</w:t>
      </w:r>
      <w:r>
        <w:rPr>
          <w:rFonts w:hint="eastAsia" w:eastAsia="仿宋" w:asciiTheme="majorEastAsia" w:hAnsiTheme="majorEastAsia"/>
          <w:sz w:val="30"/>
          <w:szCs w:val="32"/>
          <w:lang w:val="en-US" w:eastAsia="zh-CN"/>
        </w:rPr>
        <w:t>上缴管理费。甲乙双方在自愿平等的基础上签订本合同，履行双方确定的权利和义务。</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一、甲方的权利和义务：</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1.甲方在后勤保障部交通服务中心驾驶员办公室提供报名点，提供1套桌椅。</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2.协助乙方招生报名和宣传，但不承担乙方驾驶培训教学等任何具体事务。</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3.监督乙方规范招生、规范服务，并对乙方进行考核，收取管理费。</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二、乙方的权利和义务：</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1.乙方在报名点必须与学员签订告知书。明确告知学员，甲方与乙方的培训业务无关，不承担乙方培训方面引起的任何责任。乙方不得以任何明示或者暗示的方式误导学员，也不得以任何方式损害甲方声誉和利益。</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2.乙方负责招生，与学员签订驾培合同，明确费用，并按要求规范培训，提供优质服务。</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3.乙方承担学员培训期间发生的安全责任事故及一切费用。</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4.乙方必须服从甲方管理，作息时间与学校同步。如有特殊要求，可书面申请报甲方批准。</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三、管理费缴纳方式：</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在签订合同时，乙方需一次性缴纳全年管理费。</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四、履约保证</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乙方在签订合同时需缴纳15万元人民币作为履约保证金。合同期满，在我校报名点报名的所有学员结业后，无任何</w:t>
      </w:r>
      <w:r>
        <w:rPr>
          <w:rFonts w:hint="eastAsia" w:eastAsia="仿宋" w:asciiTheme="majorEastAsia" w:hAnsiTheme="majorEastAsia"/>
          <w:sz w:val="30"/>
          <w:szCs w:val="24"/>
        </w:rPr>
        <w:t>违约、违规、违法</w:t>
      </w:r>
      <w:r>
        <w:rPr>
          <w:rFonts w:hint="eastAsia" w:ascii="宋体" w:hAnsi="宋体" w:eastAsia="仿宋"/>
          <w:sz w:val="30"/>
          <w:szCs w:val="32"/>
        </w:rPr>
        <w:t>情形的，半月内办理无息退款。</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1.出现下列情形，可直接终止合同并罚没乙方履约保证金：</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与报名学生签订合同后，乙方不能履行合同内容，无法完成学员培训的；对学员人身不法侵害的；因乙方责任导致车辆事故，造成恶劣影响或导致学生人身严重伤害的；乙方人员在校内寻衅滋事，影响学校安全稳定的；1个月时间内接到学生投诉确需整改达5人次的，需停止招生进行整改，而未能整改到位的；乙方有损害甲方声誉和利益行为的；乙方在投标过程中有弄虚作假行为</w:t>
      </w:r>
      <w:r>
        <w:rPr>
          <w:rFonts w:hint="eastAsia" w:ascii="宋体" w:hAnsi="宋体" w:eastAsia="仿宋"/>
          <w:sz w:val="30"/>
          <w:szCs w:val="32"/>
          <w:lang w:eastAsia="zh-CN"/>
        </w:rPr>
        <w:t>的</w:t>
      </w:r>
      <w:r>
        <w:rPr>
          <w:rFonts w:hint="eastAsia" w:ascii="宋体" w:hAnsi="宋体" w:eastAsia="仿宋"/>
          <w:sz w:val="30"/>
          <w:szCs w:val="32"/>
        </w:rPr>
        <w:t>；有其他严重损害甲方利益的行为</w:t>
      </w:r>
      <w:r>
        <w:rPr>
          <w:rFonts w:hint="eastAsia" w:ascii="宋体" w:hAnsi="宋体" w:eastAsia="仿宋"/>
          <w:sz w:val="30"/>
          <w:szCs w:val="32"/>
          <w:lang w:eastAsia="zh-CN"/>
        </w:rPr>
        <w:t>等</w:t>
      </w:r>
      <w:bookmarkStart w:id="0" w:name="_GoBack"/>
      <w:bookmarkEnd w:id="0"/>
      <w:r>
        <w:rPr>
          <w:rFonts w:hint="eastAsia" w:ascii="宋体" w:hAnsi="宋体" w:eastAsia="仿宋"/>
          <w:sz w:val="30"/>
          <w:szCs w:val="32"/>
        </w:rPr>
        <w:t>。</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2.出现下列情形，可处罚乙方：</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不与学员签订告知书的；不能满足学员正当培训权益被投诉的；对学员卡拿要的；巧立名目收费的；在校园内擅自摆摊设点、店外经营的；不服从招标方管理的。按以上情形等，每次给予500元以上扣罚，并要求整改到位。</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3.合同期满日乙方即撤出报名点，每延迟1日，按1000元每日支付违约金。</w:t>
      </w:r>
    </w:p>
    <w:p>
      <w:pPr>
        <w:spacing w:line="440" w:lineRule="exact"/>
        <w:ind w:firstLine="600" w:firstLineChars="200"/>
        <w:rPr>
          <w:rFonts w:hint="eastAsia" w:ascii="宋体" w:hAnsi="宋体" w:eastAsia="仿宋"/>
          <w:sz w:val="30"/>
          <w:szCs w:val="32"/>
        </w:rPr>
      </w:pPr>
      <w:r>
        <w:rPr>
          <w:rFonts w:hint="eastAsia" w:ascii="宋体" w:hAnsi="宋体" w:eastAsia="仿宋"/>
          <w:sz w:val="30"/>
          <w:szCs w:val="32"/>
        </w:rPr>
        <w:t>4.合同期满，但学员培训仍未结束，乙方必须保证学员权益，甲方继续履行监督权，可按合同内容扣罚履约保证金。</w:t>
      </w:r>
    </w:p>
    <w:p>
      <w:pPr>
        <w:spacing w:line="440" w:lineRule="exact"/>
        <w:ind w:firstLine="600" w:firstLineChars="200"/>
        <w:rPr>
          <w:rFonts w:ascii="宋体" w:hAnsi="宋体" w:eastAsia="仿宋"/>
          <w:sz w:val="30"/>
          <w:szCs w:val="32"/>
        </w:rPr>
      </w:pPr>
      <w:r>
        <w:rPr>
          <w:rFonts w:hint="eastAsia" w:ascii="宋体" w:hAnsi="宋体" w:eastAsia="仿宋"/>
          <w:sz w:val="30"/>
          <w:szCs w:val="32"/>
        </w:rPr>
        <w:t>5.甲方对乙方的任何处罚和监督并不因此减轻乙方对学员应当承担的权利和义务。</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五、争议解决</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有关本合同争议，双方可友好协商解决，若协商不成，可诉至甲方所在地人民法院。</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六、本次招标期1年，合同期1年。自签字之日起至2019年  月  日止。</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七、本合同自双方签字日起生效。合同一式四份，甲方执三份、乙方执一份。</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八、所有招投标文件均具有法律效应，双方应共同信守。</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甲方：（盖章）                 乙方：（盖章）</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甲方代表签字：                乙方代表签字：</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 xml:space="preserve">      联系电话：                    联系电话：</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r>
        <w:rPr>
          <w:rFonts w:hint="eastAsia" w:eastAsia="仿宋" w:asciiTheme="majorEastAsia" w:hAnsiTheme="majorEastAsia"/>
          <w:sz w:val="30"/>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right="0" w:rightChars="0" w:firstLine="600" w:firstLineChars="200"/>
        <w:textAlignment w:val="auto"/>
        <w:outlineLvl w:val="9"/>
        <w:rPr>
          <w:rFonts w:hint="eastAsia" w:eastAsia="仿宋" w:asciiTheme="majorEastAsia" w:hAnsiTheme="majorEastAsia"/>
          <w:sz w:val="30"/>
          <w:szCs w:val="32"/>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leftChars="0" w:right="0" w:rightChars="0"/>
        <w:textAlignment w:val="auto"/>
        <w:rPr>
          <w:rFonts w:hint="eastAsia" w:ascii="仿宋" w:hAnsi="仿宋" w:eastAsia="仿宋" w:cs="仿宋"/>
          <w:sz w:val="30"/>
          <w:szCs w:val="24"/>
          <w:lang w:val="en-US" w:eastAsia="zh-CN"/>
        </w:rPr>
      </w:pPr>
    </w:p>
    <w:p>
      <w:pPr>
        <w:keepNext w:val="0"/>
        <w:keepLines w:val="0"/>
        <w:pageBreakBefore w:val="0"/>
        <w:widowControl w:val="0"/>
        <w:numPr>
          <w:ilvl w:val="0"/>
          <w:numId w:val="0"/>
        </w:numPr>
        <w:kinsoku/>
        <w:wordWrap/>
        <w:overflowPunct/>
        <w:topLinePunct w:val="0"/>
        <w:bidi w:val="0"/>
        <w:snapToGrid w:val="0"/>
        <w:spacing w:line="400" w:lineRule="exact"/>
        <w:ind w:right="0" w:rightChars="0"/>
        <w:textAlignment w:val="auto"/>
        <w:rPr>
          <w:rFonts w:hint="eastAsia" w:eastAsia="仿宋" w:asciiTheme="majorEastAsia" w:hAnsiTheme="majorEastAsia"/>
          <w:sz w:val="30"/>
          <w:szCs w:val="24"/>
          <w:lang w:val="en-US" w:eastAsia="zh-CN"/>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rPr>
        <w:rStyle w:val="5"/>
      </w:rPr>
      <w:fldChar w:fldCharType="begin"/>
    </w:r>
    <w:r>
      <w:rPr>
        <w:rStyle w:val="5"/>
      </w:rPr>
      <w:instrText xml:space="preserve">PAGE  </w:instrText>
    </w:r>
    <w:r>
      <w:rPr>
        <w:rStyle w:val="5"/>
      </w:rPr>
      <w:fldChar w:fldCharType="separate"/>
    </w:r>
    <w:r>
      <w:rPr>
        <w:rStyle w:val="5"/>
      </w:rPr>
      <w:t>1</w:t>
    </w:r>
    <w:r>
      <w:rPr>
        <w:rStyle w:val="5"/>
      </w:rP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BE5FA2"/>
    <w:multiLevelType w:val="singleLevel"/>
    <w:tmpl w:val="B6BE5FA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238C1"/>
    <w:rsid w:val="00041D45"/>
    <w:rsid w:val="00055157"/>
    <w:rsid w:val="0007256C"/>
    <w:rsid w:val="00093FA1"/>
    <w:rsid w:val="000D4505"/>
    <w:rsid w:val="00115B71"/>
    <w:rsid w:val="0012430E"/>
    <w:rsid w:val="00132D9F"/>
    <w:rsid w:val="00165C10"/>
    <w:rsid w:val="00181F04"/>
    <w:rsid w:val="00185FE7"/>
    <w:rsid w:val="001D40AA"/>
    <w:rsid w:val="00234CBA"/>
    <w:rsid w:val="00242D45"/>
    <w:rsid w:val="003119F4"/>
    <w:rsid w:val="00316026"/>
    <w:rsid w:val="00321B46"/>
    <w:rsid w:val="0032594E"/>
    <w:rsid w:val="00332C59"/>
    <w:rsid w:val="003A172D"/>
    <w:rsid w:val="003C6A10"/>
    <w:rsid w:val="00437C50"/>
    <w:rsid w:val="00440639"/>
    <w:rsid w:val="00446183"/>
    <w:rsid w:val="00457C52"/>
    <w:rsid w:val="004622C6"/>
    <w:rsid w:val="00497EEA"/>
    <w:rsid w:val="004B3DF3"/>
    <w:rsid w:val="004F0769"/>
    <w:rsid w:val="00503D36"/>
    <w:rsid w:val="00540A1D"/>
    <w:rsid w:val="00551E75"/>
    <w:rsid w:val="005A5D43"/>
    <w:rsid w:val="005C6A96"/>
    <w:rsid w:val="005E259A"/>
    <w:rsid w:val="005E73A0"/>
    <w:rsid w:val="005F1DA5"/>
    <w:rsid w:val="006046EF"/>
    <w:rsid w:val="006112FD"/>
    <w:rsid w:val="00624B93"/>
    <w:rsid w:val="00670979"/>
    <w:rsid w:val="006A18C3"/>
    <w:rsid w:val="006B3969"/>
    <w:rsid w:val="006C3809"/>
    <w:rsid w:val="006D6985"/>
    <w:rsid w:val="006E31A4"/>
    <w:rsid w:val="006E6A00"/>
    <w:rsid w:val="00703495"/>
    <w:rsid w:val="00725971"/>
    <w:rsid w:val="00787452"/>
    <w:rsid w:val="007A397B"/>
    <w:rsid w:val="007C12A6"/>
    <w:rsid w:val="007C15B7"/>
    <w:rsid w:val="007F581F"/>
    <w:rsid w:val="00806561"/>
    <w:rsid w:val="00824242"/>
    <w:rsid w:val="00844B71"/>
    <w:rsid w:val="00852C66"/>
    <w:rsid w:val="008A1C30"/>
    <w:rsid w:val="008E6A4E"/>
    <w:rsid w:val="008F361A"/>
    <w:rsid w:val="00915D15"/>
    <w:rsid w:val="009163B1"/>
    <w:rsid w:val="009238C1"/>
    <w:rsid w:val="00942487"/>
    <w:rsid w:val="0099044C"/>
    <w:rsid w:val="009A19FF"/>
    <w:rsid w:val="009A4300"/>
    <w:rsid w:val="009B1E36"/>
    <w:rsid w:val="00A42B08"/>
    <w:rsid w:val="00A65DEC"/>
    <w:rsid w:val="00AA7418"/>
    <w:rsid w:val="00B1722C"/>
    <w:rsid w:val="00B2126E"/>
    <w:rsid w:val="00B50AFD"/>
    <w:rsid w:val="00BC0A3F"/>
    <w:rsid w:val="00BD3F46"/>
    <w:rsid w:val="00C01EE4"/>
    <w:rsid w:val="00C07C52"/>
    <w:rsid w:val="00C14426"/>
    <w:rsid w:val="00C4274B"/>
    <w:rsid w:val="00C50B47"/>
    <w:rsid w:val="00C66F3E"/>
    <w:rsid w:val="00C82E88"/>
    <w:rsid w:val="00CD32A5"/>
    <w:rsid w:val="00CD5E27"/>
    <w:rsid w:val="00CF645C"/>
    <w:rsid w:val="00D3108D"/>
    <w:rsid w:val="00D74B7F"/>
    <w:rsid w:val="00D75943"/>
    <w:rsid w:val="00D7723C"/>
    <w:rsid w:val="00DA1616"/>
    <w:rsid w:val="00DB5DF1"/>
    <w:rsid w:val="00E164E0"/>
    <w:rsid w:val="00E34815"/>
    <w:rsid w:val="00E34ADD"/>
    <w:rsid w:val="00E43BB5"/>
    <w:rsid w:val="00EA5F01"/>
    <w:rsid w:val="00EB6309"/>
    <w:rsid w:val="00F3429D"/>
    <w:rsid w:val="00F42B52"/>
    <w:rsid w:val="00F72FB8"/>
    <w:rsid w:val="00FD6C61"/>
    <w:rsid w:val="00FE57C2"/>
    <w:rsid w:val="01F8099E"/>
    <w:rsid w:val="026A6EEA"/>
    <w:rsid w:val="03100E9C"/>
    <w:rsid w:val="03207997"/>
    <w:rsid w:val="0590379C"/>
    <w:rsid w:val="0A3C46E1"/>
    <w:rsid w:val="0B103201"/>
    <w:rsid w:val="0D060C2E"/>
    <w:rsid w:val="15A31D93"/>
    <w:rsid w:val="16003B3A"/>
    <w:rsid w:val="18B25236"/>
    <w:rsid w:val="1A9645D4"/>
    <w:rsid w:val="1BD11FAB"/>
    <w:rsid w:val="22055233"/>
    <w:rsid w:val="237425DD"/>
    <w:rsid w:val="28517CD8"/>
    <w:rsid w:val="28DC3265"/>
    <w:rsid w:val="2E6F0EA7"/>
    <w:rsid w:val="2F891800"/>
    <w:rsid w:val="30C44647"/>
    <w:rsid w:val="31D96F97"/>
    <w:rsid w:val="34AC552A"/>
    <w:rsid w:val="353C750E"/>
    <w:rsid w:val="37B34039"/>
    <w:rsid w:val="3AA67D6A"/>
    <w:rsid w:val="3BF04AE1"/>
    <w:rsid w:val="3C0861A7"/>
    <w:rsid w:val="3E800A10"/>
    <w:rsid w:val="429B2D61"/>
    <w:rsid w:val="43DA5BFD"/>
    <w:rsid w:val="46556AB1"/>
    <w:rsid w:val="4D155CBE"/>
    <w:rsid w:val="5030169B"/>
    <w:rsid w:val="55BA1FC4"/>
    <w:rsid w:val="582B3AF5"/>
    <w:rsid w:val="5FD341B2"/>
    <w:rsid w:val="5FD57F99"/>
    <w:rsid w:val="5FDC38A1"/>
    <w:rsid w:val="61B93BF8"/>
    <w:rsid w:val="6692263D"/>
    <w:rsid w:val="680C10C0"/>
    <w:rsid w:val="69ED7CCF"/>
    <w:rsid w:val="6A06555F"/>
    <w:rsid w:val="6B704C77"/>
    <w:rsid w:val="6C5D1C59"/>
    <w:rsid w:val="71D12827"/>
    <w:rsid w:val="7322604E"/>
    <w:rsid w:val="7B8A29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0"/>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qFormat/>
    <w:uiPriority w:val="0"/>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368</Words>
  <Characters>2099</Characters>
  <Lines>17</Lines>
  <Paragraphs>4</Paragraphs>
  <TotalTime>38</TotalTime>
  <ScaleCrop>false</ScaleCrop>
  <LinksUpToDate>false</LinksUpToDate>
  <CharactersWithSpaces>2463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2018-03-22T00:18:00Z</dcterms:created>
  <dc:creator>系统管理员</dc:creator>
  <cp:lastModifiedBy>hp</cp:lastModifiedBy>
  <cp:lastPrinted>2018-04-24T07:48:00Z</cp:lastPrinted>
  <dcterms:modified xsi:type="dcterms:W3CDTF">2018-05-11T04:26:24Z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