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Default ContentType="image/jpeg" Extension="jpeg"/>
  <Default ContentType="image/png" Extension="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微软雅黑" w:hAnsi="微软雅黑" w:eastAsia="微软雅黑"/>
          <w:b/>
          <w:sz w:val="40"/>
          <w:szCs w:val="40"/>
        </w:rPr>
      </w:pPr>
    </w:p>
    <w:p>
      <w:pPr>
        <w:jc w:val="center"/>
        <w:rPr>
          <w:rFonts w:ascii="微软雅黑" w:hAnsi="微软雅黑" w:eastAsia="微软雅黑"/>
          <w:b/>
          <w:sz w:val="40"/>
          <w:szCs w:val="40"/>
        </w:rPr>
      </w:pPr>
    </w:p>
    <w:p>
      <w:pPr>
        <w:jc w:val="center"/>
        <w:rPr>
          <w:rFonts w:ascii="黑体" w:hAnsi="黑体" w:eastAsia="黑体"/>
          <w:b/>
          <w:sz w:val="52"/>
          <w:szCs w:val="52"/>
        </w:rPr>
      </w:pPr>
      <w:r>
        <w:rPr>
          <w:rFonts w:hint="eastAsia" w:ascii="黑体" w:hAnsi="黑体" w:eastAsia="黑体"/>
          <w:b/>
          <w:sz w:val="52"/>
          <w:szCs w:val="52"/>
        </w:rPr>
        <w:t>南通大学大数据平台</w:t>
      </w:r>
    </w:p>
    <w:p>
      <w:pPr>
        <w:jc w:val="center"/>
        <w:rPr>
          <w:rFonts w:ascii="黑体" w:hAnsi="黑体" w:eastAsia="黑体"/>
          <w:b/>
          <w:sz w:val="52"/>
          <w:szCs w:val="52"/>
        </w:rPr>
      </w:pPr>
      <w:r>
        <w:rPr>
          <w:rFonts w:hint="eastAsia" w:ascii="黑体" w:hAnsi="黑体" w:eastAsia="黑体"/>
          <w:b/>
          <w:sz w:val="52"/>
          <w:szCs w:val="52"/>
        </w:rPr>
        <w:t>建</w:t>
      </w:r>
    </w:p>
    <w:p>
      <w:pPr>
        <w:jc w:val="center"/>
        <w:rPr>
          <w:rFonts w:ascii="黑体" w:hAnsi="黑体" w:eastAsia="黑体"/>
          <w:b/>
          <w:sz w:val="52"/>
          <w:szCs w:val="52"/>
        </w:rPr>
      </w:pPr>
      <w:r>
        <w:rPr>
          <w:rFonts w:hint="eastAsia" w:ascii="黑体" w:hAnsi="黑体" w:eastAsia="黑体"/>
          <w:b/>
          <w:sz w:val="52"/>
          <w:szCs w:val="52"/>
        </w:rPr>
        <w:t>设</w:t>
      </w:r>
    </w:p>
    <w:p>
      <w:pPr>
        <w:jc w:val="center"/>
        <w:rPr>
          <w:rFonts w:ascii="黑体" w:hAnsi="黑体" w:eastAsia="黑体"/>
          <w:b/>
          <w:sz w:val="52"/>
          <w:szCs w:val="52"/>
        </w:rPr>
      </w:pPr>
      <w:r>
        <w:rPr>
          <w:rFonts w:hint="eastAsia" w:ascii="黑体" w:hAnsi="黑体" w:eastAsia="黑体"/>
          <w:b/>
          <w:sz w:val="52"/>
          <w:szCs w:val="52"/>
        </w:rPr>
        <w:t>方</w:t>
      </w:r>
    </w:p>
    <w:p>
      <w:pPr>
        <w:jc w:val="center"/>
        <w:rPr>
          <w:rFonts w:ascii="黑体" w:hAnsi="黑体" w:eastAsia="黑体"/>
          <w:b/>
          <w:sz w:val="52"/>
          <w:szCs w:val="52"/>
        </w:rPr>
      </w:pPr>
      <w:r>
        <w:rPr>
          <w:rFonts w:hint="eastAsia" w:ascii="黑体" w:hAnsi="黑体" w:eastAsia="黑体"/>
          <w:b/>
          <w:sz w:val="52"/>
          <w:szCs w:val="52"/>
        </w:rPr>
        <w:t>案</w:t>
      </w: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rPr>
          <w:rFonts w:ascii="微软雅黑" w:hAnsi="微软雅黑" w:eastAsia="微软雅黑"/>
        </w:rPr>
      </w:pPr>
    </w:p>
    <w:p>
      <w:pPr>
        <w:jc w:val="center"/>
        <w:rPr>
          <w:rFonts w:ascii="楷体" w:hAnsi="楷体" w:eastAsia="楷体"/>
        </w:rPr>
      </w:pPr>
      <w:r>
        <w:rPr>
          <w:rFonts w:hint="eastAsia" w:ascii="楷体" w:hAnsi="楷体" w:eastAsia="楷体"/>
        </w:rPr>
        <w:t>南通大学现代教育技术中心</w:t>
      </w:r>
    </w:p>
    <w:p>
      <w:pPr>
        <w:jc w:val="center"/>
        <w:rPr>
          <w:rFonts w:ascii="楷体" w:hAnsi="楷体" w:eastAsia="楷体"/>
        </w:rPr>
      </w:pPr>
      <w:r>
        <w:rPr>
          <w:rFonts w:hint="eastAsia" w:ascii="楷体" w:hAnsi="楷体" w:eastAsia="楷体"/>
        </w:rPr>
        <w:t>201</w:t>
      </w:r>
      <w:r>
        <w:rPr>
          <w:rFonts w:hint="eastAsia" w:ascii="楷体" w:hAnsi="楷体" w:eastAsia="楷体"/>
          <w:lang w:val="en-US" w:eastAsia="zh-CN"/>
        </w:rPr>
        <w:t>6</w:t>
      </w:r>
      <w:r>
        <w:rPr>
          <w:rFonts w:hint="eastAsia" w:ascii="楷体" w:hAnsi="楷体" w:eastAsia="楷体"/>
        </w:rPr>
        <w:t>年</w:t>
      </w:r>
      <w:r>
        <w:rPr>
          <w:rFonts w:hint="eastAsia" w:ascii="楷体" w:hAnsi="楷体" w:eastAsia="楷体"/>
          <w:lang w:val="en-US" w:eastAsia="zh-CN"/>
        </w:rPr>
        <w:t>4</w:t>
      </w:r>
      <w:r>
        <w:rPr>
          <w:rFonts w:hint="eastAsia" w:ascii="楷体" w:hAnsi="楷体" w:eastAsia="楷体"/>
        </w:rPr>
        <w:t>月</w:t>
      </w:r>
    </w:p>
    <w:p/>
    <w:p/>
    <w:p>
      <w:pPr>
        <w:pStyle w:val="20"/>
        <w:jc w:val="center"/>
        <w:rPr>
          <w:rFonts w:ascii="黑体" w:hAnsi="黑体" w:eastAsia="黑体"/>
          <w:color w:val="auto"/>
          <w:sz w:val="44"/>
          <w:szCs w:val="44"/>
          <w:lang w:val="zh-CN"/>
        </w:rPr>
      </w:pPr>
      <w:bookmarkStart w:id="0" w:name="_Toc5656"/>
      <w:r>
        <w:rPr>
          <w:rFonts w:hint="eastAsia" w:ascii="黑体" w:hAnsi="黑体" w:eastAsia="黑体"/>
          <w:color w:val="auto"/>
          <w:sz w:val="44"/>
          <w:szCs w:val="44"/>
          <w:lang w:val="zh-CN"/>
        </w:rPr>
        <w:t>目录</w:t>
      </w:r>
      <w:bookmarkEnd w:id="0"/>
    </w:p>
    <w:p>
      <w:pPr>
        <w:pStyle w:val="9"/>
        <w:tabs>
          <w:tab w:val="right" w:leader="dot" w:pos="8306"/>
          <w:tab w:val="clear" w:pos="440"/>
          <w:tab w:val="clear" w:pos="8296"/>
        </w:tabs>
        <w:rPr>
          <w:rFonts w:ascii="微软雅黑" w:hAnsi="微软雅黑" w:eastAsia="微软雅黑" w:cs="Arial"/>
          <w:kern w:val="2"/>
          <w:szCs w:val="32"/>
          <w:lang w:val="en-US" w:eastAsia="zh-CN" w:bidi="ar-SA"/>
        </w:rPr>
      </w:pPr>
      <w:r>
        <w:fldChar w:fldCharType="begin"/>
      </w:r>
      <w:r>
        <w:instrText xml:space="preserve"> TOC \o "1-3" \h \z \u </w:instrText>
      </w:r>
      <w:r>
        <w:fldChar w:fldCharType="separate"/>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_Toc5656 </w:instrText>
      </w:r>
      <w:r>
        <w:rPr>
          <w:rFonts w:ascii="微软雅黑" w:hAnsi="微软雅黑" w:eastAsia="微软雅黑" w:cs="Arial"/>
          <w:kern w:val="2"/>
          <w:szCs w:val="32"/>
          <w:lang w:val="en-US" w:eastAsia="zh-CN" w:bidi="ar-SA"/>
        </w:rPr>
        <w:fldChar w:fldCharType="separate"/>
      </w:r>
      <w:r>
        <w:rPr>
          <w:rFonts w:hint="eastAsia" w:ascii="黑体" w:hAnsi="黑体" w:eastAsia="黑体" w:cs="Arial"/>
          <w:kern w:val="2"/>
          <w:szCs w:val="44"/>
          <w:lang w:val="zh-CN" w:eastAsia="zh-CN" w:bidi="ar-SA"/>
        </w:rPr>
        <w:t>目录</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_Toc5656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1</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9"/>
        <w:tabs>
          <w:tab w:val="right" w:leader="dot" w:pos="8306"/>
          <w:tab w:val="clear" w:pos="440"/>
          <w:tab w:val="clear" w:pos="829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_Toc13733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1. 项目背景与需求分析</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_Toc13733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2</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_Toc6576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1.1 项目背景与校园网建设现状</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_Toc6576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2</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_Toc561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1.2 需求分析</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_Toc561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3</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9"/>
        <w:tabs>
          <w:tab w:val="right" w:leader="dot" w:pos="8306"/>
          <w:tab w:val="clear" w:pos="440"/>
          <w:tab w:val="clear" w:pos="829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_Toc13496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2. 南通大学大数据平台建设方案</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_Toc13496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6</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_Toc6961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2.1 建设原则</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_Toc6961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6</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_Toc26376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2.2 建设方案</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_Toc26376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7</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9"/>
        <w:tabs>
          <w:tab w:val="right" w:leader="dot" w:pos="8306"/>
          <w:tab w:val="clear" w:pos="440"/>
          <w:tab w:val="clear" w:pos="829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_Toc22895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3. 设备清单及技术参数</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_Toc22895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8</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_Toc17765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3.1 设备清单</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_Toc17765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8</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_Toc10547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3.2 技术参数</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_Toc10547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8</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9"/>
        <w:tabs>
          <w:tab w:val="right" w:leader="dot" w:pos="8306"/>
          <w:tab w:val="clear" w:pos="440"/>
          <w:tab w:val="clear" w:pos="829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_Toc29480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4. 服务部分</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_Toc29480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11</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_Toc12253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4.1 说明</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_Toc12253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11</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10"/>
        <w:tabs>
          <w:tab w:val="right" w:leader="dot" w:pos="8306"/>
        </w:tabs>
        <w:rPr>
          <w:rFonts w:ascii="微软雅黑" w:hAnsi="微软雅黑" w:eastAsia="微软雅黑" w:cs="Arial"/>
          <w:kern w:val="2"/>
          <w:szCs w:val="32"/>
          <w:lang w:val="en-US" w:eastAsia="zh-CN" w:bidi="ar-SA"/>
        </w:rPr>
      </w:pP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HYPERLINK \l _Toc31220 </w:instrText>
      </w:r>
      <w:r>
        <w:rPr>
          <w:rFonts w:ascii="微软雅黑" w:hAnsi="微软雅黑" w:eastAsia="微软雅黑" w:cs="Arial"/>
          <w:kern w:val="2"/>
          <w:szCs w:val="32"/>
          <w:lang w:val="en-US" w:eastAsia="zh-CN" w:bidi="ar-SA"/>
        </w:rPr>
        <w:fldChar w:fldCharType="separate"/>
      </w:r>
      <w:r>
        <w:rPr>
          <w:rFonts w:hint="eastAsia" w:ascii="微软雅黑" w:hAnsi="微软雅黑" w:eastAsia="微软雅黑" w:cs="Arial"/>
          <w:kern w:val="2"/>
          <w:szCs w:val="32"/>
          <w:lang w:val="en-US" w:eastAsia="zh-CN" w:bidi="ar-SA"/>
        </w:rPr>
        <w:t>4.2 服务承诺</w:t>
      </w:r>
      <w:r>
        <w:rPr>
          <w:rFonts w:ascii="微软雅黑" w:hAnsi="微软雅黑" w:eastAsia="微软雅黑" w:cs="Arial"/>
          <w:kern w:val="2"/>
          <w:szCs w:val="32"/>
          <w:lang w:val="en-US" w:eastAsia="zh-CN" w:bidi="ar-SA"/>
        </w:rPr>
        <w:tab/>
      </w:r>
      <w:r>
        <w:rPr>
          <w:rFonts w:ascii="微软雅黑" w:hAnsi="微软雅黑" w:eastAsia="微软雅黑" w:cs="Arial"/>
          <w:kern w:val="2"/>
          <w:szCs w:val="32"/>
          <w:lang w:val="en-US" w:eastAsia="zh-CN" w:bidi="ar-SA"/>
        </w:rPr>
        <w:fldChar w:fldCharType="begin"/>
      </w:r>
      <w:r>
        <w:rPr>
          <w:rFonts w:ascii="微软雅黑" w:hAnsi="微软雅黑" w:eastAsia="微软雅黑" w:cs="Arial"/>
          <w:kern w:val="2"/>
          <w:szCs w:val="32"/>
          <w:lang w:val="en-US" w:eastAsia="zh-CN" w:bidi="ar-SA"/>
        </w:rPr>
        <w:instrText xml:space="preserve"> PAGEREF _Toc31220 </w:instrText>
      </w:r>
      <w:r>
        <w:rPr>
          <w:rFonts w:ascii="微软雅黑" w:hAnsi="微软雅黑" w:eastAsia="微软雅黑" w:cs="Arial"/>
          <w:kern w:val="2"/>
          <w:szCs w:val="32"/>
          <w:lang w:val="en-US" w:eastAsia="zh-CN" w:bidi="ar-SA"/>
        </w:rPr>
        <w:fldChar w:fldCharType="separate"/>
      </w:r>
      <w:r>
        <w:rPr>
          <w:rFonts w:ascii="微软雅黑" w:hAnsi="微软雅黑" w:eastAsia="微软雅黑" w:cs="Arial"/>
          <w:kern w:val="2"/>
          <w:szCs w:val="32"/>
          <w:lang w:val="en-US" w:eastAsia="zh-CN" w:bidi="ar-SA"/>
        </w:rPr>
        <w:t>11</w:t>
      </w:r>
      <w:r>
        <w:rPr>
          <w:rFonts w:ascii="微软雅黑" w:hAnsi="微软雅黑" w:eastAsia="微软雅黑" w:cs="Arial"/>
          <w:kern w:val="2"/>
          <w:szCs w:val="32"/>
          <w:lang w:val="en-US" w:eastAsia="zh-CN" w:bidi="ar-SA"/>
        </w:rPr>
        <w:fldChar w:fldCharType="end"/>
      </w:r>
      <w:r>
        <w:rPr>
          <w:rFonts w:ascii="微软雅黑" w:hAnsi="微软雅黑" w:eastAsia="微软雅黑" w:cs="Arial"/>
          <w:kern w:val="2"/>
          <w:szCs w:val="32"/>
          <w:lang w:val="en-US" w:eastAsia="zh-CN" w:bidi="ar-SA"/>
        </w:rPr>
        <w:fldChar w:fldCharType="end"/>
      </w:r>
    </w:p>
    <w:p>
      <w:pPr>
        <w:pStyle w:val="2"/>
        <w:numPr>
          <w:ilvl w:val="0"/>
          <w:numId w:val="0"/>
        </w:numPr>
        <w:ind w:left="420" w:hanging="420"/>
        <w:rPr>
          <w:rFonts w:hint="eastAsia"/>
        </w:rPr>
      </w:pPr>
      <w:r>
        <w:rPr>
          <w:rFonts w:ascii="微软雅黑" w:hAnsi="微软雅黑" w:eastAsia="微软雅黑" w:cs="Arial"/>
          <w:kern w:val="2"/>
          <w:szCs w:val="32"/>
          <w:lang w:val="en-US" w:eastAsia="zh-CN" w:bidi="ar-SA"/>
        </w:rPr>
        <w:fldChar w:fldCharType="end"/>
      </w:r>
      <w:bookmarkStart w:id="1" w:name="_Toc13733"/>
      <w:r>
        <w:rPr>
          <w:rFonts w:hint="eastAsia"/>
          <w:lang w:val="en-US" w:eastAsia="zh-CN"/>
        </w:rPr>
        <w:t xml:space="preserve">1. </w:t>
      </w:r>
      <w:r>
        <w:rPr>
          <w:rFonts w:hint="eastAsia"/>
        </w:rPr>
        <w:t>项目背景与需求分析</w:t>
      </w:r>
      <w:bookmarkEnd w:id="1"/>
    </w:p>
    <w:p>
      <w:pPr>
        <w:pStyle w:val="3"/>
        <w:spacing w:after="312"/>
      </w:pPr>
      <w:bookmarkStart w:id="2" w:name="_Toc6576"/>
      <w:r>
        <w:rPr>
          <w:rFonts w:hint="eastAsia"/>
        </w:rPr>
        <w:t>1.1 项目背景与校园网建设现状</w:t>
      </w:r>
      <w:bookmarkEnd w:id="2"/>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　南通大学坐落于素有“江海明珠”、“历史文化名城”美誉的沿海开放城市——江苏省南通市，是江苏省人民政府和交通运输部共建的综合性大学。学校的办学历史最早可追溯到近代著名实业家、教育家张謇先生于1912年创办的私立南通医学专门学校和南通纺织专门学校。2004年，南通医学院、南通工学院、南通师范学院三校合并组建南通大学。经过一个世纪的办学历程，南通大学现已建设成为一所规模结构合理、学科门类齐全、教学质量优秀、办学效益明显的地方综合性大学。</w:t>
      </w:r>
    </w:p>
    <w:p>
      <w:pPr>
        <w:spacing w:line="360" w:lineRule="auto"/>
        <w:ind w:firstLine="480" w:firstLineChars="200"/>
        <w:rPr>
          <w:rFonts w:ascii="宋体" w:hAnsi="宋体" w:cs="Times New Roman"/>
          <w:color w:val="000000"/>
          <w:sz w:val="24"/>
          <w:szCs w:val="24"/>
        </w:rPr>
      </w:pPr>
      <w:r>
        <w:rPr>
          <w:rFonts w:hint="eastAsia" w:ascii="宋体" w:hAnsi="宋体" w:cs="Times New Roman"/>
          <w:color w:val="000000"/>
          <w:sz w:val="24"/>
          <w:szCs w:val="24"/>
        </w:rPr>
        <w:t>大数据技术能够将隐藏于海量数据中的信息和知识挖掘出来，为人类的社会经济活动提供依据，从而提高各个领域的运行效率，大大提高整个社会经济的集约化程度。在我国，大数据重点应用于商业智能、政府决策、公共服务等领域。越来越多的科研机构加入大数据的研究队伍。</w:t>
      </w:r>
    </w:p>
    <w:p>
      <w:pPr>
        <w:spacing w:line="360" w:lineRule="auto"/>
        <w:ind w:firstLine="480" w:firstLineChars="200"/>
        <w:rPr>
          <w:rFonts w:ascii="宋体" w:hAnsi="宋体" w:cs="Times New Roman"/>
          <w:color w:val="000000"/>
          <w:sz w:val="24"/>
          <w:szCs w:val="24"/>
        </w:rPr>
      </w:pPr>
      <w:r>
        <w:rPr>
          <w:rFonts w:hint="eastAsia" w:ascii="宋体" w:hAnsi="宋体" w:cs="Times New Roman"/>
          <w:color w:val="000000"/>
          <w:sz w:val="24"/>
          <w:szCs w:val="24"/>
        </w:rPr>
        <w:t>南通大学于2013成功申报南通市高性能计算重点实验室项目，项目主要研究方向之一即为海量数据处理，大数据平台是开展海量数据处理研究的基础平台，本次大数据平台由南通大学现代教育技术中心承建。</w:t>
      </w:r>
    </w:p>
    <w:p>
      <w:pPr>
        <w:pStyle w:val="11"/>
        <w:rPr>
          <w:rFonts w:ascii="宋体" w:hAnsi="宋体" w:cs="宋体"/>
          <w:b/>
          <w:szCs w:val="24"/>
        </w:rPr>
      </w:pPr>
      <w:r>
        <w:rPr>
          <w:rFonts w:ascii="Calibri" w:hAnsi="Calibri" w:eastAsia="宋体" w:cs="黑体"/>
          <w:kern w:val="2"/>
          <w:sz w:val="21"/>
          <w:szCs w:val="22"/>
          <w:lang w:val="en-US" w:eastAsia="zh-CN" w:bidi="ar-SA"/>
        </w:rPr>
        <w:pict>
          <v:shape id="图片 1" o:spid="_x0000_s1026" type="#_x0000_t75" style="height:232.5pt;width:402.75pt;rotation:0f;" o:ole="f" fillcolor="#FFFFFF" filled="f" o:preferrelative="t" stroked="f" coordorigin="0,0" coordsize="21600,21600">
            <v:fill on="f" color2="#FFFFFF" focus="0%"/>
            <v:imagedata gain="65536f" blacklevel="0f" gamma="0" o:title="" r:id="rId6"/>
            <o:lock v:ext="edit" position="f" selection="f" grouping="f" rotation="f" cropping="f" text="f" aspectratio="t"/>
            <w10:wrap type="none"/>
            <w10:anchorlock/>
          </v:shape>
        </w:pict>
      </w:r>
    </w:p>
    <w:p>
      <w:pPr>
        <w:pStyle w:val="11"/>
        <w:jc w:val="center"/>
        <w:rPr>
          <w:rFonts w:ascii="宋体" w:hAnsi="宋体" w:cs="宋体"/>
          <w:b/>
          <w:szCs w:val="21"/>
        </w:rPr>
      </w:pPr>
      <w:r>
        <w:rPr>
          <w:rFonts w:hint="eastAsia" w:ascii="宋体" w:hAnsi="宋体" w:cs="宋体"/>
          <w:b/>
          <w:sz w:val="21"/>
          <w:szCs w:val="21"/>
        </w:rPr>
        <w:t>图1-1 南通大学校园网拓扑图</w:t>
      </w:r>
    </w:p>
    <w:p>
      <w:pPr>
        <w:spacing w:line="360" w:lineRule="auto"/>
        <w:ind w:firstLine="480" w:firstLineChars="200"/>
        <w:rPr>
          <w:rFonts w:ascii="宋体" w:hAnsi="宋体" w:cs="Times New Roman"/>
          <w:color w:val="000000"/>
          <w:sz w:val="24"/>
          <w:szCs w:val="24"/>
        </w:rPr>
      </w:pP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如图</w:t>
      </w:r>
      <w:r>
        <w:rPr>
          <w:rFonts w:ascii="Times New Roman" w:hAnsi="Times New Roman" w:cs="Times New Roman"/>
          <w:sz w:val="24"/>
          <w:szCs w:val="24"/>
        </w:rPr>
        <w:t>1-1</w:t>
      </w:r>
      <w:r>
        <w:rPr>
          <w:rFonts w:hint="eastAsia" w:ascii="Times New Roman" w:hAnsi="Times New Roman" w:cs="Times New Roman"/>
          <w:sz w:val="24"/>
          <w:szCs w:val="24"/>
        </w:rPr>
        <w:t>所示，南通大学校园网以三台</w:t>
      </w:r>
      <w:r>
        <w:rPr>
          <w:rFonts w:ascii="Times New Roman" w:hAnsi="Times New Roman" w:cs="Times New Roman"/>
          <w:sz w:val="24"/>
          <w:szCs w:val="24"/>
        </w:rPr>
        <w:t>Juniper MX 960</w:t>
      </w:r>
      <w:r>
        <w:rPr>
          <w:rFonts w:hint="eastAsia" w:ascii="Times New Roman" w:hAnsi="Times New Roman" w:cs="Times New Roman"/>
          <w:sz w:val="24"/>
          <w:szCs w:val="24"/>
        </w:rPr>
        <w:t>为核心设备，通过万兆光纤线路与多台汇聚设备互连。</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南通大学私有云数据中心，拓扑结构如图</w:t>
      </w:r>
      <w:r>
        <w:rPr>
          <w:rFonts w:ascii="Times New Roman" w:hAnsi="Times New Roman" w:cs="Times New Roman"/>
          <w:sz w:val="24"/>
          <w:szCs w:val="24"/>
        </w:rPr>
        <w:t>1-2</w:t>
      </w:r>
      <w:r>
        <w:rPr>
          <w:rFonts w:hint="eastAsia" w:ascii="Times New Roman" w:hAnsi="Times New Roman" w:cs="Times New Roman"/>
          <w:sz w:val="24"/>
          <w:szCs w:val="24"/>
        </w:rPr>
        <w:t>所示。数据据中心由存储系统、刀片服务器组和汇聚通信矩阵等组成。其中高性能存储系统采用</w:t>
      </w:r>
      <w:r>
        <w:rPr>
          <w:rFonts w:ascii="Times New Roman" w:hAnsi="Times New Roman" w:cs="Times New Roman"/>
          <w:sz w:val="24"/>
          <w:szCs w:val="24"/>
        </w:rPr>
        <w:t>8Gb FC</w:t>
      </w:r>
      <w:r>
        <w:rPr>
          <w:rFonts w:hint="eastAsia" w:ascii="Times New Roman" w:hAnsi="Times New Roman" w:cs="Times New Roman"/>
          <w:sz w:val="24"/>
          <w:szCs w:val="24"/>
        </w:rPr>
        <w:t>技术接入</w:t>
      </w:r>
      <w:r>
        <w:rPr>
          <w:rFonts w:ascii="Times New Roman" w:hAnsi="Times New Roman" w:cs="Times New Roman"/>
          <w:sz w:val="24"/>
          <w:szCs w:val="24"/>
        </w:rPr>
        <w:t>SAN</w:t>
      </w:r>
      <w:r>
        <w:rPr>
          <w:rFonts w:hint="eastAsia" w:ascii="Times New Roman" w:hAnsi="Times New Roman" w:cs="Times New Roman"/>
          <w:sz w:val="24"/>
          <w:szCs w:val="24"/>
        </w:rPr>
        <w:t>网络，同时通过存储本身的镜像软件，实现数据备份。</w:t>
      </w:r>
    </w:p>
    <w:p>
      <w:pPr>
        <w:spacing w:line="360" w:lineRule="auto"/>
        <w:ind w:firstLine="420" w:firstLineChars="200"/>
        <w:rPr>
          <w:rFonts w:ascii="Times New Roman" w:hAnsi="Times New Roman" w:cs="Times New Roman"/>
          <w:sz w:val="24"/>
          <w:szCs w:val="24"/>
        </w:rPr>
      </w:pPr>
      <w:r>
        <w:rPr>
          <w:rFonts w:ascii="微软雅黑" w:hAnsi="微软雅黑" w:eastAsia="微软雅黑" w:cs="微软雅黑"/>
          <w:kern w:val="2"/>
          <w:sz w:val="21"/>
          <w:szCs w:val="22"/>
          <w:lang w:val="en-US" w:eastAsia="zh-CN" w:bidi="ar-SA"/>
        </w:rPr>
        <w:pict>
          <v:shape id="图片 6" o:spid="_x0000_s1027" type="#_x0000_t75" style="height:220.5pt;width:383.25pt;rotation:0f;" o:ole="f" fillcolor="#FFFFFF" filled="f" o:preferrelative="t" stroked="f" coordorigin="0,0" coordsize="21600,21600">
            <v:fill on="f" color2="#FFFFFF" focus="0%"/>
            <v:imagedata cropleft="3785f" croptop="6633f" cropright="1301f" cropbottom="12475f" gain="65536f" blacklevel="0f" gamma="0" o:title="" r:id="rId7"/>
            <o:lock v:ext="edit" position="f" selection="f" grouping="f" rotation="f" cropping="f" text="f" aspectratio="t"/>
            <w10:wrap type="none"/>
            <w10:anchorlock/>
          </v:shape>
        </w:pict>
      </w:r>
    </w:p>
    <w:p>
      <w:pPr>
        <w:pStyle w:val="11"/>
        <w:ind w:firstLine="422" w:firstLineChars="200"/>
        <w:jc w:val="center"/>
        <w:rPr>
          <w:rFonts w:ascii="宋体" w:hAnsi="宋体" w:cs="宋体"/>
          <w:b/>
          <w:sz w:val="21"/>
          <w:szCs w:val="21"/>
        </w:rPr>
      </w:pPr>
      <w:r>
        <w:rPr>
          <w:rFonts w:hint="eastAsia" w:ascii="宋体" w:hAnsi="宋体" w:cs="宋体"/>
          <w:b/>
          <w:sz w:val="21"/>
          <w:szCs w:val="21"/>
        </w:rPr>
        <w:t>图1-2 南通大学数据中心拓扑图</w:t>
      </w:r>
    </w:p>
    <w:p>
      <w:pPr>
        <w:pStyle w:val="11"/>
        <w:ind w:firstLine="422" w:firstLineChars="200"/>
        <w:jc w:val="center"/>
        <w:rPr>
          <w:rFonts w:ascii="宋体" w:hAnsi="宋体" w:cs="宋体"/>
          <w:b/>
          <w:sz w:val="21"/>
          <w:szCs w:val="21"/>
        </w:rPr>
      </w:pPr>
    </w:p>
    <w:p>
      <w:pPr>
        <w:pStyle w:val="3"/>
        <w:spacing w:after="312"/>
      </w:pPr>
      <w:bookmarkStart w:id="3" w:name="_Toc561"/>
      <w:r>
        <w:rPr>
          <w:rFonts w:hint="eastAsia"/>
        </w:rPr>
        <w:t>1.2 需求分析</w:t>
      </w:r>
      <w:bookmarkEnd w:id="3"/>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高校信息系统是数据生产大户。麦肯锡全球研究中心的最新数据显示，仅2009年，美国国家教育 部的某信息系统的数据库就膨胀至269P字节（1个P字节等于10亿个M字节）。这个庞大程度，直接入选当年全美10大数据生产贡献量排名。中国的万人大学非常多，在高校里学生的学籍、选课、成绩、借书、上网、论坛、微博和吃饭刷卡等等都会产生大量数据，教师的基本信息、上课课件和视频、远程教育课程等等也会产生大量数据，还有设备、机房和图书等信息，所以高校信息系统通常都是很庞大的，多年运营下来，已经积累很多数据，这就是高校信息系统中的大数据。高校中的大数据有很高的教学与科研价值，能够改变教育领域的授课和学习模式。用大数据可以帮助教学管理，辅助海量数据的科研计算，做招生推广活动，做学位管理工作等等。在这个信息非常宝贵的时代，高校的师生们都将从大数据技术中获取收益。</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当前大数据平台在高校有如下几个应用场景。</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（1） 舆情分析</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舆情分析就是根据特定问题的需要，对针对这个问题的舆情进行深层次的思维加工和分析研究，得到相关结论的过程。网络时代的高校舆情存在于 BBS 论坛、微博、聊天室等等，这些都是典型的大数据。在某个事件发生后，广大同学和老师会通过各种途径了解到事情的真相，随后而来的便是纷如雨下的评论，或支持或反对，或理性或感性，或热情参与或冷眼旁观。 当一种论调得到大家的认同后，舆情甚至可以对事件的走向发生重大的影响。 而一旦有心人可以从这舆情中分析出些什么，得到些什么，那么就可以做出一个正确的决定。 如果在信息传递极其不便的古代，舆情就相当于一条大江，那么在现代信息高度发达的年代，舆情已经从一条大江变成了汪洋大海，其对高校政治思想工作和高校稳定性的重要性不言而喻。 正因如此，舆情分析的价值就凸现了出来。</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（2） 个性化学习</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因材施教、个性化学习是教育所追求的最高目标，但在传统的班级授课制中要实现这一点是很难的。将大数据挖掘并与学习内容相结合，在线学习系统就可以以可视化的方式来指导学习者的学习和个性化发展，这样系统就实现了个性化学习功能。 学生在自己的学习平台上的多媒体学习资料（文本和音视频）、学习进展、互动信息、自主学习信息这些个性化信息，能帮助学生完善知识结构并加快学生对自身兴趣爱好的挖掘和特长的培养。虽然单个学生的各种数据（结构、非结构）量并不一定很大，但在整个教育信息化的大背景下，这种学习方式要基于大数据才能更好地实现。大数据时代的到来，将带来更具针对性、个性化的教育，可以尽早将人的天赋、创造力释放出来。 可以预见，未来个性化学习终端，将会更多地融入学习资源云平台，根据每个学生的不同兴趣爱好和特长，推送相关领域的前沿技术、资讯、资源乃至未来职业发展方向等等，并贯穿每个人终身学习的全过程。</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（3） 预测</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大数据的核心就是预测。它把数学算法运用到海量的数据上来预测事情发生的可能性。亚马逊可以帮我们推荐想要的书，谷歌可以为关联网站排序，淘宝知道我们的购物喜好，而 QQ 的朋友推荐可以猜出我们认识谁。 这些预测系统之所以能够成功，关键在于它们是建立在海量数据的基础之上的。此外，随着大数据在高校的应用,系统接收到的数据越来越多，通过记录找到最好的预测模式，可以对系统进行改进。 当然，同样的技术也可以运用在高校预测招生生源情况、就业情况，预测学生的各种需求情况以及学校的将来发展状况等。</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（4） 在高校教学质量评估中的应用</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教学评估是每个高校定期要做的项目，目的是通过教学评估发现教学中存在的问题，及时地调整教学方案和手段，以提高教学质量，从而培养出顺应社会发展要求的学生。 把大数据技术引入到教育领域的评估系统中，不仅提高了教育管理的科学性，而且增强了教育数字化建设的实效性。 将基于大数据挖掘的智能算法应用于教学质量评估中，从教师教学的效果，多媒体课件的使用，学生和教师的互动，教学与教学场所等因素中找出其中的内在联系，能为教学部门提供决策支持信息，为教师提供准确的反馈信息，使之更好地开展教学工作，提高教学质量。 该领域的研究具有一定的潜力，许多学者都在这方面发现新的智能算法，以此帮助高校有效快速地提高教学质量。</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（5） 有助于提高教师的教学能力</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过去的教学因为没有大量数据的支撑，该教什么全凭教师跟着感觉走。 现在，我们可以将教师的教学视频挂在网上，通过深度分析学生在观看教学视频的过程中在哪些地方停顿或者教学视频哪些地方重放的频次比较高，来找出学生不明确或者课程吸引人的地方，帮助教师改进教学、确定教学重点。 这必然会引导教师改革教学方式。</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（6） 有助于高校专业培养方向的拓展</w:t>
      </w:r>
    </w:p>
    <w:p>
      <w:pPr>
        <w:spacing w:line="360" w:lineRule="auto"/>
        <w:ind w:firstLine="480" w:firstLineChars="200"/>
        <w:rPr>
          <w:rFonts w:ascii="Times New Roman" w:hAnsi="Times New Roman" w:cs="Times New Roman"/>
          <w:sz w:val="24"/>
          <w:szCs w:val="24"/>
        </w:rPr>
      </w:pPr>
      <w:r>
        <w:rPr>
          <w:rFonts w:hint="eastAsia" w:ascii="Times New Roman" w:hAnsi="Times New Roman" w:cs="Times New Roman"/>
          <w:sz w:val="24"/>
          <w:szCs w:val="24"/>
        </w:rPr>
        <w:t>面对“大数据”带来的挑战与机遇，国内首个“大数据技术与应用”软件工程硕士专业华丽登场。 继2012 年 9 月北京航空航天大学成立大数据科学与工程国际研究中心后，作为布局大数据战略方向的另一重要举措，北京航空航天大学计算机学院、北京航空航天大学软件学院、工信部 CSIP 移动云计算教育培训中心三大权威机构整合优势资源，联合创办了国内第一个“大数据科学与应用”软件工程硕士专业。 国内的各高校可以设置大数据专业或方向，有助于将来学生更好地就业。</w:t>
      </w:r>
    </w:p>
    <w:p>
      <w:pPr>
        <w:pStyle w:val="2"/>
        <w:numPr>
          <w:ilvl w:val="0"/>
          <w:numId w:val="0"/>
        </w:numPr>
        <w:ind w:leftChars="0"/>
      </w:pPr>
      <w:bookmarkStart w:id="4" w:name="_Toc13496"/>
      <w:r>
        <w:rPr>
          <w:rFonts w:hint="eastAsia"/>
          <w:lang w:val="en-US" w:eastAsia="zh-CN"/>
        </w:rPr>
        <w:t xml:space="preserve">2. </w:t>
      </w:r>
      <w:r>
        <w:rPr>
          <w:rFonts w:hint="eastAsia"/>
        </w:rPr>
        <w:t>南通大学大数据平台建设方案</w:t>
      </w:r>
      <w:bookmarkEnd w:id="4"/>
    </w:p>
    <w:p>
      <w:pPr>
        <w:pStyle w:val="3"/>
        <w:spacing w:after="312"/>
      </w:pPr>
      <w:bookmarkStart w:id="5" w:name="_Toc6961"/>
      <w:r>
        <w:rPr>
          <w:rFonts w:hint="eastAsia"/>
        </w:rPr>
        <w:t>2.1 建设原则</w:t>
      </w:r>
      <w:bookmarkEnd w:id="5"/>
    </w:p>
    <w:p>
      <w:pPr>
        <w:pStyle w:val="17"/>
      </w:pPr>
      <w:r>
        <w:rPr>
          <w:rFonts w:hint="eastAsia"/>
        </w:rPr>
        <w:t>以破解当前学校管理工作中存在的重复建设、资源浪费、信息孤岛、安全薄弱等问题为导向，充分运用大数据、云计算等先进技术和理念，强化顶层设计和统筹管理，加快推进校园大数据平台建设，逐步形成以云计算平台为基础、以大数据管理为核心、以大数据应用为主导、以大安全体系为保障的校园管理总体框架，实现校园管理从粗放式、低效能分散建设向集约化、高绩效协同发展模式转变；推动大数据在校园管理、决策和公共服务领域的广泛应用，努力形成具有南通大学特色的创新发展的良好局面。大数据平台建设时遵循以下基本原则。</w:t>
      </w:r>
    </w:p>
    <w:p>
      <w:pPr>
        <w:pStyle w:val="19"/>
        <w:numPr>
          <w:ilvl w:val="0"/>
          <w:numId w:val="3"/>
        </w:numPr>
        <w:rPr>
          <w:b/>
        </w:rPr>
      </w:pPr>
      <w:r>
        <w:rPr>
          <w:rFonts w:hint="eastAsia"/>
          <w:b/>
        </w:rPr>
        <w:t>先进性</w:t>
      </w:r>
    </w:p>
    <w:p>
      <w:pPr>
        <w:pStyle w:val="17"/>
      </w:pPr>
      <w:r>
        <w:rPr>
          <w:rFonts w:hint="eastAsia"/>
        </w:rPr>
        <w:t>目前，世界IT技术发展迅速，按照摩尔定律，每18个月计算性能发展一倍，所以对于IT设备采购，保证系统的先进性非常重要，只有先进的系统才能保证IT投资具有更高的投入产出比。</w:t>
      </w:r>
    </w:p>
    <w:p>
      <w:pPr>
        <w:pStyle w:val="19"/>
        <w:numPr>
          <w:ilvl w:val="0"/>
          <w:numId w:val="3"/>
        </w:numPr>
        <w:rPr>
          <w:b/>
        </w:rPr>
      </w:pPr>
      <w:r>
        <w:rPr>
          <w:rFonts w:hint="eastAsia"/>
          <w:b/>
        </w:rPr>
        <w:t>高可靠、高可用性</w:t>
      </w:r>
    </w:p>
    <w:p>
      <w:pPr>
        <w:pStyle w:val="17"/>
      </w:pPr>
      <w:r>
        <w:rPr>
          <w:rFonts w:hint="eastAsia"/>
        </w:rPr>
        <w:t>本平台建成后将面向南通大学乃至南通全市提供大数据分析服务，系统的高可靠性、高可用性是保证服务质量和好的用户体验的前提。</w:t>
      </w:r>
    </w:p>
    <w:p>
      <w:pPr>
        <w:pStyle w:val="19"/>
        <w:numPr>
          <w:ilvl w:val="0"/>
          <w:numId w:val="3"/>
        </w:numPr>
        <w:rPr>
          <w:b/>
        </w:rPr>
      </w:pPr>
      <w:r>
        <w:rPr>
          <w:rFonts w:hint="eastAsia"/>
          <w:b/>
        </w:rPr>
        <w:t>数据资源集中化管理</w:t>
      </w:r>
    </w:p>
    <w:p>
      <w:pPr>
        <w:pStyle w:val="17"/>
      </w:pPr>
      <w:r>
        <w:rPr>
          <w:rFonts w:hint="eastAsia"/>
          <w:color w:val="000000"/>
          <w:shd w:val="clear" w:color="auto" w:fill="FFFFFF"/>
        </w:rPr>
        <w:t>建立健全以校园大数据平台为核心的信息资源归集、共享、开放和安全保障机制，着力推进学校各部门数据向大数据平台集中，统一为全校提供共享服务。</w:t>
      </w:r>
    </w:p>
    <w:p>
      <w:pPr>
        <w:pStyle w:val="19"/>
        <w:numPr>
          <w:ilvl w:val="0"/>
          <w:numId w:val="3"/>
        </w:numPr>
        <w:rPr>
          <w:b/>
        </w:rPr>
      </w:pPr>
      <w:r>
        <w:rPr>
          <w:rFonts w:hint="eastAsia"/>
          <w:b/>
        </w:rPr>
        <w:t>可扩展性</w:t>
      </w:r>
    </w:p>
    <w:p>
      <w:pPr>
        <w:pStyle w:val="17"/>
      </w:pPr>
      <w:r>
        <w:rPr>
          <w:rFonts w:hint="eastAsia"/>
        </w:rPr>
        <w:t>本次，建设时要考虑到系统建成后的扩展性，这样，当系统需要更新时，不会造成投资的浪费。</w:t>
      </w:r>
    </w:p>
    <w:p>
      <w:pPr>
        <w:pStyle w:val="19"/>
        <w:numPr>
          <w:ilvl w:val="0"/>
          <w:numId w:val="3"/>
        </w:numPr>
        <w:rPr>
          <w:b/>
        </w:rPr>
      </w:pPr>
      <w:r>
        <w:rPr>
          <w:rFonts w:hint="eastAsia"/>
          <w:b/>
        </w:rPr>
        <w:t>节能环保需求</w:t>
      </w:r>
    </w:p>
    <w:p>
      <w:pPr>
        <w:pStyle w:val="17"/>
        <w:rPr>
          <w:rFonts w:hint="eastAsia" w:ascii="微软雅黑" w:hAnsi="微软雅黑" w:eastAsia="微软雅黑"/>
        </w:rPr>
      </w:pPr>
      <w:r>
        <w:rPr>
          <w:rFonts w:hint="eastAsia"/>
        </w:rPr>
        <w:t>系统规模大，耗电量大，节能环保不但能够大大降低运维成本，同时也是在相应国家节能减排、绿色低炭的号召。</w:t>
      </w:r>
    </w:p>
    <w:p>
      <w:pPr>
        <w:pStyle w:val="3"/>
        <w:spacing w:after="312"/>
      </w:pPr>
      <w:bookmarkStart w:id="6" w:name="_Toc26376"/>
      <w:r>
        <w:rPr>
          <w:rFonts w:hint="eastAsia"/>
        </w:rPr>
        <w:t>2.2 建设方案</w:t>
      </w:r>
      <w:bookmarkEnd w:id="6"/>
    </w:p>
    <w:p>
      <w:pPr>
        <w:jc w:val="center"/>
        <w:rPr>
          <w:rFonts w:ascii="宋体" w:hAnsi="宋体" w:cs="宋体"/>
          <w:b/>
          <w:szCs w:val="21"/>
        </w:rPr>
      </w:pPr>
      <w:r>
        <w:rPr>
          <w:rFonts w:ascii="Calibri" w:hAnsi="Calibri" w:eastAsia="宋体" w:cs="黑体"/>
          <w:kern w:val="2"/>
          <w:sz w:val="21"/>
          <w:szCs w:val="22"/>
          <w:lang w:val="en-US" w:eastAsia="zh-CN" w:bidi="ar-SA"/>
        </w:rPr>
        <w:pict>
          <v:shape id="图片 5" o:spid="_x0000_s1028" type="#_x0000_t75" style="height:287.25pt;width:414.75pt;rotation:0f;" o:ole="f" fillcolor="#FFFFFF" filled="f" o:preferrelative="t" stroked="f" coordorigin="0,0" coordsize="21600,21600">
            <v:fill on="f" color2="#FFFFFF" focus="0%"/>
            <v:imagedata gain="65536f" blacklevel="0f" gamma="0" o:title="" r:id="rId8"/>
            <o:lock v:ext="edit" position="f" selection="f" grouping="f" rotation="f" cropping="f" text="f" aspectratio="t"/>
            <w10:wrap type="none"/>
            <w10:anchorlock/>
          </v:shape>
        </w:pict>
      </w:r>
      <w:r>
        <w:rPr>
          <w:rFonts w:hint="eastAsia" w:ascii="宋体" w:hAnsi="宋体" w:cs="宋体"/>
          <w:b/>
          <w:szCs w:val="21"/>
        </w:rPr>
        <w:t xml:space="preserve"> </w:t>
      </w:r>
    </w:p>
    <w:p>
      <w:pPr>
        <w:jc w:val="center"/>
        <w:rPr>
          <w:rFonts w:ascii="宋体" w:hAnsi="宋体" w:cs="宋体"/>
          <w:b/>
          <w:szCs w:val="21"/>
        </w:rPr>
      </w:pPr>
      <w:r>
        <w:rPr>
          <w:rFonts w:hint="eastAsia" w:ascii="宋体" w:hAnsi="宋体" w:cs="宋体"/>
          <w:b/>
          <w:szCs w:val="21"/>
        </w:rPr>
        <w:t>图1-3 南通大学大数据平台拓扑图</w:t>
      </w:r>
    </w:p>
    <w:p>
      <w:pPr>
        <w:pStyle w:val="17"/>
        <w:ind w:firstLine="420" w:firstLineChars="200"/>
        <w:rPr>
          <w:rFonts w:hint="eastAsia"/>
        </w:rPr>
      </w:pPr>
      <w:r>
        <w:rPr>
          <w:rFonts w:hint="eastAsia"/>
        </w:rPr>
        <w:t>南通大学大数据平台的系统拓扑图如图1-3所示。平台由两个管理节点</w:t>
      </w:r>
      <w:r>
        <w:rPr>
          <w:rFonts w:hint="eastAsia"/>
          <w:lang w:eastAsia="zh-CN"/>
        </w:rPr>
        <w:t>四</w:t>
      </w:r>
      <w:r>
        <w:rPr>
          <w:rFonts w:hint="eastAsia"/>
        </w:rPr>
        <w:t>个计算节点组成，所有节点通过千兆网络互联。用户可以在校内或校外通过VPN来访问使用。</w:t>
      </w:r>
    </w:p>
    <w:p>
      <w:pPr>
        <w:pStyle w:val="17"/>
        <w:ind w:firstLine="420" w:firstLineChars="200"/>
      </w:pPr>
      <w:r>
        <w:rPr>
          <w:rFonts w:hint="eastAsia"/>
        </w:rPr>
        <w:t>在硬件平台的基础上，需要部署</w:t>
      </w:r>
      <w:r>
        <w:rPr>
          <w:rFonts w:hint="eastAsia"/>
          <w:lang w:eastAsia="zh-CN"/>
        </w:rPr>
        <w:t>开源的</w:t>
      </w:r>
      <w:r>
        <w:rPr>
          <w:rFonts w:hint="eastAsia"/>
        </w:rPr>
        <w:t>分布式文件系统（HDFS）、分布式协同工作系统（ZooKeeper）、分布式数据库（HBase）、分布式计算框架（Map/Reduce）、分布式数据仓库（Hive）、数据转移工具（Sqoop）、网络监视工具（Nagios）、分布式数据处理（Pig）、分布式监控工具（ganglia）等套件。</w:t>
      </w:r>
    </w:p>
    <w:p>
      <w:pPr>
        <w:pStyle w:val="2"/>
        <w:numPr>
          <w:ilvl w:val="0"/>
          <w:numId w:val="0"/>
        </w:numPr>
        <w:ind w:leftChars="0"/>
      </w:pPr>
      <w:bookmarkStart w:id="7" w:name="_Toc22895"/>
      <w:r>
        <w:rPr>
          <w:rFonts w:hint="eastAsia"/>
          <w:lang w:val="en-US" w:eastAsia="zh-CN"/>
        </w:rPr>
        <w:t xml:space="preserve">3. </w:t>
      </w:r>
      <w:r>
        <w:rPr>
          <w:rFonts w:hint="eastAsia"/>
        </w:rPr>
        <w:t>设备清单及技术参数</w:t>
      </w:r>
      <w:bookmarkEnd w:id="7"/>
    </w:p>
    <w:p>
      <w:pPr>
        <w:pStyle w:val="3"/>
        <w:spacing w:after="312"/>
      </w:pPr>
      <w:bookmarkStart w:id="8" w:name="_Toc17765"/>
      <w:r>
        <w:rPr>
          <w:rFonts w:hint="eastAsia"/>
        </w:rPr>
        <w:t>3.1 设备清单</w:t>
      </w:r>
      <w:bookmarkEnd w:id="8"/>
    </w:p>
    <w:tbl>
      <w:tblPr>
        <w:tblStyle w:val="15"/>
        <w:tblW w:w="7403" w:type="dxa"/>
        <w:jc w:val="center"/>
        <w:tblInd w:w="-10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4232"/>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7" w:hRule="atLeast"/>
          <w:jc w:val="center"/>
        </w:trPr>
        <w:tc>
          <w:tcPr>
            <w:tcW w:w="1835" w:type="dxa"/>
            <w:vAlign w:val="center"/>
          </w:tcPr>
          <w:p>
            <w:pPr>
              <w:jc w:val="center"/>
              <w:rPr>
                <w:rFonts w:ascii="华文细黑" w:hAnsi="华文细黑" w:eastAsia="华文细黑" w:cs="Calibri"/>
                <w:b/>
              </w:rPr>
            </w:pPr>
            <w:r>
              <w:rPr>
                <w:rFonts w:hint="eastAsia" w:ascii="华文细黑" w:hAnsi="华文细黑" w:eastAsia="华文细黑" w:cs="Calibri"/>
                <w:b/>
              </w:rPr>
              <w:t>产品名称</w:t>
            </w:r>
          </w:p>
        </w:tc>
        <w:tc>
          <w:tcPr>
            <w:tcW w:w="4232" w:type="dxa"/>
            <w:vAlign w:val="center"/>
          </w:tcPr>
          <w:p>
            <w:pPr>
              <w:jc w:val="center"/>
              <w:rPr>
                <w:rFonts w:ascii="华文细黑" w:hAnsi="华文细黑" w:eastAsia="华文细黑" w:cs="Calibri"/>
                <w:b/>
              </w:rPr>
            </w:pPr>
            <w:r>
              <w:rPr>
                <w:rFonts w:hint="eastAsia" w:ascii="华文细黑" w:hAnsi="华文细黑" w:eastAsia="华文细黑" w:cs="Calibri"/>
                <w:b/>
              </w:rPr>
              <w:t>品牌及型号</w:t>
            </w:r>
          </w:p>
        </w:tc>
        <w:tc>
          <w:tcPr>
            <w:tcW w:w="1336" w:type="dxa"/>
            <w:vAlign w:val="center"/>
          </w:tcPr>
          <w:p>
            <w:pPr>
              <w:jc w:val="center"/>
              <w:rPr>
                <w:rFonts w:ascii="华文细黑" w:hAnsi="华文细黑" w:eastAsia="华文细黑" w:cs="Calibri"/>
                <w:b/>
              </w:rPr>
            </w:pPr>
            <w:r>
              <w:rPr>
                <w:rFonts w:hint="eastAsia" w:ascii="华文细黑" w:hAnsi="华文细黑" w:eastAsia="华文细黑" w:cs="Calibri"/>
                <w:b/>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35" w:type="dxa"/>
            <w:vAlign w:val="center"/>
          </w:tcPr>
          <w:p>
            <w:pPr>
              <w:jc w:val="center"/>
              <w:rPr>
                <w:rFonts w:ascii="华文细黑" w:hAnsi="华文细黑" w:eastAsia="华文细黑" w:cs="Calibri"/>
              </w:rPr>
            </w:pPr>
            <w:r>
              <w:rPr>
                <w:rFonts w:hint="eastAsia" w:ascii="宋体" w:hAnsi="宋体" w:cs="宋体"/>
                <w:bCs/>
                <w:kern w:val="0"/>
                <w:sz w:val="18"/>
                <w:szCs w:val="18"/>
              </w:rPr>
              <w:t>管理节点</w:t>
            </w:r>
          </w:p>
        </w:tc>
        <w:tc>
          <w:tcPr>
            <w:tcW w:w="4232" w:type="dxa"/>
            <w:vAlign w:val="center"/>
          </w:tcPr>
          <w:p>
            <w:pPr>
              <w:spacing w:line="400" w:lineRule="exact"/>
              <w:rPr>
                <w:rFonts w:ascii="华文细黑" w:hAnsi="华文细黑" w:eastAsia="华文细黑" w:cs="Calibri"/>
              </w:rPr>
            </w:pPr>
            <w:r>
              <w:rPr>
                <w:rFonts w:hint="eastAsia" w:ascii="华文细黑" w:hAnsi="华文细黑" w:eastAsia="华文细黑" w:cs="Calibri"/>
                <w:b/>
              </w:rPr>
              <w:t>曙光：</w:t>
            </w:r>
            <w:r>
              <w:rPr>
                <w:rFonts w:ascii="宋体" w:hAnsi="宋体" w:cs="宋体"/>
                <w:color w:val="000000"/>
                <w:kern w:val="0"/>
                <w:sz w:val="18"/>
                <w:szCs w:val="18"/>
              </w:rPr>
              <w:t>I620-G20</w:t>
            </w:r>
            <w:r>
              <w:rPr>
                <w:rFonts w:hint="eastAsia" w:ascii="宋体" w:hAnsi="宋体" w:cs="宋体"/>
                <w:color w:val="000000"/>
                <w:kern w:val="0"/>
                <w:sz w:val="18"/>
                <w:szCs w:val="18"/>
              </w:rPr>
              <w:t>或以上产品</w:t>
            </w:r>
          </w:p>
          <w:p>
            <w:pPr>
              <w:spacing w:line="400" w:lineRule="exact"/>
              <w:rPr>
                <w:rFonts w:hint="eastAsia" w:ascii="宋体" w:hAnsi="宋体" w:cs="宋体"/>
                <w:color w:val="000000"/>
                <w:kern w:val="0"/>
                <w:sz w:val="18"/>
                <w:szCs w:val="18"/>
              </w:rPr>
            </w:pPr>
            <w:r>
              <w:rPr>
                <w:rFonts w:hint="eastAsia" w:ascii="华文细黑" w:hAnsi="华文细黑" w:eastAsia="华文细黑" w:cs="Calibri"/>
                <w:b/>
              </w:rPr>
              <w:t>浪潮：</w:t>
            </w:r>
            <w:r>
              <w:rPr>
                <w:rFonts w:hint="eastAsia" w:ascii="宋体" w:hAnsi="宋体" w:cs="Calibri"/>
                <w:sz w:val="18"/>
                <w:szCs w:val="18"/>
              </w:rPr>
              <w:t>NF5270M4</w:t>
            </w:r>
            <w:r>
              <w:rPr>
                <w:rFonts w:hint="eastAsia" w:ascii="宋体" w:hAnsi="宋体" w:cs="宋体"/>
                <w:color w:val="000000"/>
                <w:kern w:val="0"/>
                <w:sz w:val="18"/>
                <w:szCs w:val="18"/>
              </w:rPr>
              <w:t>或以上产品</w:t>
            </w:r>
          </w:p>
          <w:p>
            <w:pPr>
              <w:spacing w:line="400" w:lineRule="exact"/>
              <w:rPr>
                <w:rFonts w:hint="eastAsia" w:ascii="宋体" w:hAnsi="宋体" w:cs="Calibri"/>
                <w:sz w:val="18"/>
                <w:szCs w:val="18"/>
                <w:lang w:eastAsia="zh-CN"/>
              </w:rPr>
            </w:pPr>
            <w:r>
              <w:rPr>
                <w:rFonts w:hint="eastAsia" w:ascii="华文细黑" w:hAnsi="华文细黑" w:eastAsia="华文细黑" w:cs="Calibri"/>
                <w:b/>
                <w:lang w:eastAsia="zh-CN"/>
              </w:rPr>
              <w:t>惠普：</w:t>
            </w:r>
            <w:r>
              <w:rPr>
                <w:rFonts w:hint="eastAsia" w:ascii="宋体" w:hAnsi="宋体" w:cs="Calibri"/>
                <w:sz w:val="18"/>
                <w:szCs w:val="18"/>
                <w:lang w:eastAsia="zh-CN"/>
              </w:rPr>
              <w:t>HP ProLiant DL380 Gen9</w:t>
            </w:r>
            <w:r>
              <w:rPr>
                <w:rFonts w:hint="eastAsia" w:ascii="宋体" w:hAnsi="宋体" w:cs="宋体"/>
                <w:color w:val="000000"/>
                <w:kern w:val="0"/>
                <w:sz w:val="18"/>
                <w:szCs w:val="18"/>
              </w:rPr>
              <w:t>或以上产品</w:t>
            </w:r>
          </w:p>
          <w:p>
            <w:pPr>
              <w:spacing w:line="400" w:lineRule="exact"/>
              <w:rPr>
                <w:rFonts w:hint="eastAsia" w:ascii="宋体" w:hAnsi="宋体" w:cs="Calibri"/>
                <w:sz w:val="18"/>
                <w:szCs w:val="18"/>
                <w:lang w:val="en-US" w:eastAsia="zh-CN"/>
              </w:rPr>
            </w:pPr>
            <w:r>
              <w:rPr>
                <w:rFonts w:hint="eastAsia" w:ascii="华文细黑" w:hAnsi="华文细黑" w:eastAsia="华文细黑" w:cs="Calibri"/>
                <w:b/>
                <w:lang w:val="en-US" w:eastAsia="zh-CN"/>
              </w:rPr>
              <w:t>IBM</w:t>
            </w:r>
            <w:r>
              <w:rPr>
                <w:rFonts w:hint="eastAsia" w:ascii="华文细黑" w:hAnsi="华文细黑" w:eastAsia="华文细黑" w:cs="Calibri"/>
                <w:b/>
                <w:lang w:eastAsia="zh-CN"/>
              </w:rPr>
              <w:t>：</w:t>
            </w:r>
            <w:r>
              <w:rPr>
                <w:rFonts w:hint="eastAsia" w:ascii="宋体" w:hAnsi="宋体" w:cs="Calibri"/>
                <w:sz w:val="18"/>
                <w:szCs w:val="18"/>
                <w:lang w:val="en-US" w:eastAsia="zh-CN"/>
              </w:rPr>
              <w:t>IBM X3650</w:t>
            </w:r>
            <w:r>
              <w:rPr>
                <w:rFonts w:hint="eastAsia" w:ascii="宋体" w:hAnsi="宋体" w:cs="宋体"/>
                <w:color w:val="000000"/>
                <w:kern w:val="0"/>
                <w:sz w:val="18"/>
                <w:szCs w:val="18"/>
              </w:rPr>
              <w:t>或以上产品</w:t>
            </w:r>
          </w:p>
        </w:tc>
        <w:tc>
          <w:tcPr>
            <w:tcW w:w="1336" w:type="dxa"/>
            <w:vAlign w:val="center"/>
          </w:tcPr>
          <w:p>
            <w:pPr>
              <w:jc w:val="center"/>
              <w:rPr>
                <w:rFonts w:ascii="华文细黑" w:hAnsi="华文细黑" w:eastAsia="华文细黑" w:cs="Calibri"/>
              </w:rPr>
            </w:pPr>
            <w:r>
              <w:rPr>
                <w:rFonts w:hint="eastAsia" w:ascii="宋体" w:hAnsi="宋体" w:cs="宋体"/>
                <w:bCs/>
                <w:kern w:val="0"/>
                <w:sz w:val="18"/>
                <w:szCs w:val="18"/>
              </w:rPr>
              <w:t>2台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835" w:type="dxa"/>
            <w:vAlign w:val="center"/>
          </w:tcPr>
          <w:p>
            <w:pPr>
              <w:jc w:val="center"/>
              <w:rPr>
                <w:rFonts w:ascii="华文细黑" w:hAnsi="华文细黑" w:eastAsia="华文细黑" w:cs="Calibri"/>
              </w:rPr>
            </w:pPr>
            <w:r>
              <w:rPr>
                <w:rFonts w:hint="eastAsia" w:ascii="宋体" w:hAnsi="宋体" w:cs="宋体"/>
                <w:bCs/>
                <w:kern w:val="0"/>
                <w:sz w:val="18"/>
                <w:szCs w:val="18"/>
              </w:rPr>
              <w:t>计算节点</w:t>
            </w:r>
          </w:p>
        </w:tc>
        <w:tc>
          <w:tcPr>
            <w:tcW w:w="4232" w:type="dxa"/>
            <w:vAlign w:val="center"/>
          </w:tcPr>
          <w:p>
            <w:pPr>
              <w:spacing w:line="400" w:lineRule="exact"/>
              <w:rPr>
                <w:rFonts w:ascii="华文细黑" w:hAnsi="华文细黑" w:eastAsia="华文细黑" w:cs="Calibri"/>
              </w:rPr>
            </w:pPr>
            <w:r>
              <w:rPr>
                <w:rFonts w:hint="eastAsia" w:ascii="华文细黑" w:hAnsi="华文细黑" w:eastAsia="华文细黑" w:cs="Calibri"/>
                <w:b/>
              </w:rPr>
              <w:t>曙光：</w:t>
            </w:r>
            <w:r>
              <w:rPr>
                <w:rFonts w:ascii="宋体" w:hAnsi="宋体" w:cs="宋体"/>
                <w:color w:val="000000"/>
                <w:kern w:val="0"/>
                <w:sz w:val="18"/>
                <w:szCs w:val="18"/>
              </w:rPr>
              <w:t>I620-G20</w:t>
            </w:r>
            <w:r>
              <w:rPr>
                <w:rFonts w:hint="eastAsia" w:ascii="宋体" w:hAnsi="宋体" w:cs="宋体"/>
                <w:color w:val="000000"/>
                <w:kern w:val="0"/>
                <w:sz w:val="18"/>
                <w:szCs w:val="18"/>
              </w:rPr>
              <w:t>或以上产品</w:t>
            </w:r>
          </w:p>
          <w:p>
            <w:pPr>
              <w:spacing w:line="400" w:lineRule="exact"/>
              <w:rPr>
                <w:rFonts w:hint="eastAsia" w:ascii="宋体" w:hAnsi="宋体" w:cs="宋体"/>
                <w:color w:val="000000"/>
                <w:kern w:val="0"/>
                <w:sz w:val="18"/>
                <w:szCs w:val="18"/>
              </w:rPr>
            </w:pPr>
            <w:r>
              <w:rPr>
                <w:rFonts w:hint="eastAsia" w:ascii="华文细黑" w:hAnsi="华文细黑" w:eastAsia="华文细黑" w:cs="Calibri"/>
                <w:b/>
              </w:rPr>
              <w:t>浪潮：</w:t>
            </w:r>
            <w:r>
              <w:rPr>
                <w:rFonts w:hint="eastAsia" w:ascii="宋体" w:hAnsi="宋体" w:cs="Calibri"/>
                <w:sz w:val="18"/>
                <w:szCs w:val="18"/>
              </w:rPr>
              <w:t>NF5270M4</w:t>
            </w:r>
            <w:r>
              <w:rPr>
                <w:rFonts w:hint="eastAsia" w:ascii="宋体" w:hAnsi="宋体" w:cs="宋体"/>
                <w:color w:val="000000"/>
                <w:kern w:val="0"/>
                <w:sz w:val="18"/>
                <w:szCs w:val="18"/>
              </w:rPr>
              <w:t>或以上产品</w:t>
            </w:r>
          </w:p>
          <w:p>
            <w:pPr>
              <w:spacing w:line="400" w:lineRule="exact"/>
              <w:rPr>
                <w:rFonts w:hint="eastAsia" w:ascii="宋体" w:hAnsi="宋体" w:cs="Calibri"/>
                <w:sz w:val="18"/>
                <w:szCs w:val="18"/>
                <w:lang w:eastAsia="zh-CN"/>
              </w:rPr>
            </w:pPr>
            <w:r>
              <w:rPr>
                <w:rFonts w:hint="eastAsia" w:ascii="华文细黑" w:hAnsi="华文细黑" w:eastAsia="华文细黑" w:cs="Calibri"/>
                <w:b/>
                <w:lang w:eastAsia="zh-CN"/>
              </w:rPr>
              <w:t>惠普：</w:t>
            </w:r>
            <w:r>
              <w:rPr>
                <w:rFonts w:hint="eastAsia" w:ascii="宋体" w:hAnsi="宋体" w:cs="Calibri"/>
                <w:sz w:val="18"/>
                <w:szCs w:val="18"/>
                <w:lang w:eastAsia="zh-CN"/>
              </w:rPr>
              <w:t>HP ProLiant DL380 Gen9</w:t>
            </w:r>
            <w:r>
              <w:rPr>
                <w:rFonts w:hint="eastAsia" w:ascii="宋体" w:hAnsi="宋体" w:cs="宋体"/>
                <w:color w:val="000000"/>
                <w:kern w:val="0"/>
                <w:sz w:val="18"/>
                <w:szCs w:val="18"/>
              </w:rPr>
              <w:t>或以上产品</w:t>
            </w:r>
          </w:p>
          <w:p>
            <w:pPr>
              <w:spacing w:line="400" w:lineRule="exact"/>
              <w:rPr>
                <w:rFonts w:hint="eastAsia" w:ascii="宋体" w:hAnsi="宋体" w:cs="Calibri"/>
                <w:sz w:val="18"/>
                <w:szCs w:val="18"/>
                <w:lang w:eastAsia="zh-CN"/>
              </w:rPr>
            </w:pPr>
            <w:r>
              <w:rPr>
                <w:rFonts w:hint="eastAsia" w:ascii="华文细黑" w:hAnsi="华文细黑" w:eastAsia="华文细黑" w:cs="Calibri"/>
                <w:b/>
                <w:lang w:val="en-US" w:eastAsia="zh-CN"/>
              </w:rPr>
              <w:t>IBM</w:t>
            </w:r>
            <w:r>
              <w:rPr>
                <w:rFonts w:hint="eastAsia" w:ascii="华文细黑" w:hAnsi="华文细黑" w:eastAsia="华文细黑" w:cs="Calibri"/>
                <w:b/>
                <w:lang w:eastAsia="zh-CN"/>
              </w:rPr>
              <w:t>：</w:t>
            </w:r>
            <w:r>
              <w:rPr>
                <w:rFonts w:hint="eastAsia" w:ascii="宋体" w:hAnsi="宋体" w:cs="Calibri"/>
                <w:sz w:val="18"/>
                <w:szCs w:val="18"/>
                <w:lang w:val="en-US" w:eastAsia="zh-CN"/>
              </w:rPr>
              <w:t>IBM X3650</w:t>
            </w:r>
            <w:r>
              <w:rPr>
                <w:rFonts w:hint="eastAsia" w:ascii="宋体" w:hAnsi="宋体" w:cs="宋体"/>
                <w:color w:val="000000"/>
                <w:kern w:val="0"/>
                <w:sz w:val="18"/>
                <w:szCs w:val="18"/>
              </w:rPr>
              <w:t>或以上产品</w:t>
            </w:r>
          </w:p>
        </w:tc>
        <w:tc>
          <w:tcPr>
            <w:tcW w:w="1336" w:type="dxa"/>
            <w:vAlign w:val="center"/>
          </w:tcPr>
          <w:p>
            <w:pPr>
              <w:jc w:val="center"/>
              <w:rPr>
                <w:rFonts w:ascii="华文细黑" w:hAnsi="华文细黑" w:eastAsia="华文细黑" w:cs="Calibri"/>
              </w:rPr>
            </w:pPr>
            <w:r>
              <w:rPr>
                <w:rFonts w:hint="eastAsia" w:ascii="宋体" w:hAnsi="宋体" w:cs="宋体"/>
                <w:bCs/>
                <w:kern w:val="0"/>
                <w:sz w:val="18"/>
                <w:szCs w:val="18"/>
                <w:lang w:val="en-US" w:eastAsia="zh-CN"/>
              </w:rPr>
              <w:t>6</w:t>
            </w:r>
            <w:r>
              <w:rPr>
                <w:rFonts w:hint="eastAsia" w:ascii="宋体" w:hAnsi="宋体" w:cs="宋体"/>
                <w:bCs/>
                <w:kern w:val="0"/>
                <w:sz w:val="18"/>
                <w:szCs w:val="18"/>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jc w:val="center"/>
        </w:trPr>
        <w:tc>
          <w:tcPr>
            <w:tcW w:w="1835" w:type="dxa"/>
            <w:vAlign w:val="center"/>
          </w:tcPr>
          <w:p>
            <w:pPr>
              <w:jc w:val="center"/>
              <w:rPr>
                <w:rFonts w:hint="eastAsia" w:ascii="宋体" w:hAnsi="宋体" w:cs="宋体"/>
                <w:bCs/>
                <w:kern w:val="0"/>
                <w:sz w:val="18"/>
                <w:szCs w:val="18"/>
              </w:rPr>
            </w:pPr>
            <w:r>
              <w:rPr>
                <w:rFonts w:hint="eastAsia" w:ascii="宋体" w:hAnsi="宋体" w:cs="宋体"/>
                <w:bCs/>
                <w:kern w:val="0"/>
                <w:sz w:val="18"/>
                <w:szCs w:val="18"/>
                <w:lang w:eastAsia="zh-CN"/>
              </w:rPr>
              <w:t>千</w:t>
            </w:r>
            <w:r>
              <w:rPr>
                <w:rFonts w:hint="eastAsia" w:ascii="宋体" w:hAnsi="宋体" w:cs="宋体"/>
                <w:bCs/>
                <w:kern w:val="0"/>
                <w:sz w:val="18"/>
                <w:szCs w:val="18"/>
              </w:rPr>
              <w:t>兆网络</w:t>
            </w:r>
          </w:p>
        </w:tc>
        <w:tc>
          <w:tcPr>
            <w:tcW w:w="4232" w:type="dxa"/>
            <w:vAlign w:val="center"/>
          </w:tcPr>
          <w:p>
            <w:pPr>
              <w:tabs>
                <w:tab w:val="left" w:pos="646"/>
              </w:tabs>
              <w:spacing w:before="0" w:beforeAutospacing="0" w:after="0" w:afterAutospacing="0"/>
              <w:ind w:left="0" w:leftChars="0" w:right="0"/>
              <w:jc w:val="left"/>
              <w:rPr>
                <w:rFonts w:hint="eastAsia" w:ascii="宋体" w:hAnsi="宋体" w:cs="宋体"/>
                <w:bCs/>
                <w:kern w:val="0"/>
                <w:sz w:val="18"/>
                <w:szCs w:val="18"/>
              </w:rPr>
            </w:pPr>
            <w:r>
              <w:rPr>
                <w:rFonts w:hint="eastAsia" w:ascii="宋体" w:hAnsi="宋体" w:cs="宋体"/>
                <w:bCs/>
                <w:kern w:val="0"/>
                <w:sz w:val="18"/>
                <w:szCs w:val="18"/>
                <w:lang w:val="en-US" w:eastAsia="zh-CN"/>
              </w:rPr>
              <w:t>24</w:t>
            </w:r>
            <w:r>
              <w:rPr>
                <w:rFonts w:hint="eastAsia" w:ascii="宋体" w:hAnsi="宋体" w:cs="宋体"/>
                <w:bCs/>
                <w:kern w:val="0"/>
                <w:sz w:val="18"/>
                <w:szCs w:val="18"/>
              </w:rPr>
              <w:t>口千兆交换机以及所需线缆</w:t>
            </w:r>
          </w:p>
        </w:tc>
        <w:tc>
          <w:tcPr>
            <w:tcW w:w="1336" w:type="dxa"/>
            <w:vAlign w:val="center"/>
          </w:tcPr>
          <w:p>
            <w:pPr>
              <w:spacing w:before="0" w:beforeAutospacing="0" w:after="0" w:afterAutospacing="0"/>
              <w:ind w:left="0" w:leftChars="0" w:right="0"/>
              <w:jc w:val="center"/>
              <w:rPr>
                <w:rFonts w:hint="eastAsia" w:ascii="宋体" w:hAnsi="宋体" w:eastAsia="宋体" w:cs="宋体"/>
                <w:bCs/>
                <w:kern w:val="0"/>
                <w:sz w:val="18"/>
                <w:szCs w:val="18"/>
                <w:lang w:eastAsia="zh-CN"/>
              </w:rPr>
            </w:pPr>
            <w:r>
              <w:rPr>
                <w:rFonts w:hint="eastAsia" w:ascii="宋体" w:hAnsi="宋体" w:cs="宋体"/>
                <w:bCs/>
                <w:kern w:val="0"/>
                <w:sz w:val="18"/>
                <w:szCs w:val="18"/>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jc w:val="center"/>
        </w:trPr>
        <w:tc>
          <w:tcPr>
            <w:tcW w:w="1835" w:type="dxa"/>
            <w:vAlign w:val="center"/>
          </w:tcPr>
          <w:p>
            <w:pPr>
              <w:jc w:val="center"/>
              <w:rPr>
                <w:rFonts w:ascii="宋体" w:hAnsi="宋体" w:cs="宋体"/>
                <w:bCs/>
                <w:kern w:val="0"/>
                <w:sz w:val="18"/>
                <w:szCs w:val="18"/>
              </w:rPr>
            </w:pPr>
            <w:r>
              <w:rPr>
                <w:rFonts w:hint="eastAsia" w:ascii="宋体" w:hAnsi="宋体" w:cs="宋体"/>
                <w:bCs/>
                <w:kern w:val="0"/>
                <w:sz w:val="18"/>
                <w:szCs w:val="18"/>
              </w:rPr>
              <w:t>操作系统</w:t>
            </w:r>
          </w:p>
        </w:tc>
        <w:tc>
          <w:tcPr>
            <w:tcW w:w="4232" w:type="dxa"/>
            <w:vAlign w:val="center"/>
          </w:tcPr>
          <w:p>
            <w:pPr>
              <w:jc w:val="left"/>
              <w:rPr>
                <w:rFonts w:ascii="宋体" w:hAnsi="宋体" w:cs="宋体"/>
                <w:bCs/>
                <w:kern w:val="0"/>
                <w:sz w:val="18"/>
                <w:szCs w:val="18"/>
              </w:rPr>
            </w:pPr>
            <w:r>
              <w:rPr>
                <w:rFonts w:hint="eastAsia" w:ascii="宋体" w:hAnsi="宋体" w:cs="宋体"/>
                <w:bCs/>
                <w:kern w:val="0"/>
                <w:sz w:val="18"/>
                <w:szCs w:val="18"/>
              </w:rPr>
              <w:t>企业版Redhat Linux操作系统，64bit(预装)</w:t>
            </w:r>
          </w:p>
        </w:tc>
        <w:tc>
          <w:tcPr>
            <w:tcW w:w="1336" w:type="dxa"/>
            <w:vAlign w:val="center"/>
          </w:tcPr>
          <w:p>
            <w:pPr>
              <w:jc w:val="center"/>
              <w:rPr>
                <w:rFonts w:ascii="宋体" w:hAnsi="宋体" w:cs="宋体"/>
                <w:bCs/>
                <w:kern w:val="0"/>
                <w:sz w:val="18"/>
                <w:szCs w:val="18"/>
              </w:rPr>
            </w:pPr>
            <w:r>
              <w:rPr>
                <w:rFonts w:hint="eastAsia" w:ascii="宋体" w:hAnsi="宋体" w:cs="宋体"/>
                <w:bCs/>
                <w:kern w:val="0"/>
                <w:sz w:val="18"/>
                <w:szCs w:val="1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 w:hRule="atLeast"/>
          <w:jc w:val="center"/>
        </w:trPr>
        <w:tc>
          <w:tcPr>
            <w:tcW w:w="1835" w:type="dxa"/>
            <w:vAlign w:val="center"/>
          </w:tcPr>
          <w:p>
            <w:pPr>
              <w:jc w:val="center"/>
              <w:rPr>
                <w:rFonts w:ascii="宋体" w:hAnsi="宋体" w:cs="宋体"/>
                <w:bCs/>
                <w:kern w:val="0"/>
                <w:sz w:val="18"/>
                <w:szCs w:val="18"/>
              </w:rPr>
            </w:pPr>
            <w:r>
              <w:rPr>
                <w:rFonts w:hint="eastAsia" w:ascii="宋体" w:hAnsi="宋体" w:cs="宋体"/>
                <w:bCs/>
                <w:kern w:val="0"/>
                <w:sz w:val="18"/>
                <w:szCs w:val="18"/>
              </w:rPr>
              <w:t>集群软件</w:t>
            </w:r>
          </w:p>
        </w:tc>
        <w:tc>
          <w:tcPr>
            <w:tcW w:w="4232" w:type="dxa"/>
            <w:vAlign w:val="center"/>
          </w:tcPr>
          <w:p>
            <w:pPr>
              <w:rPr>
                <w:rFonts w:hint="eastAsia" w:ascii="宋体" w:hAnsi="宋体" w:eastAsia="宋体" w:cs="宋体"/>
                <w:b/>
                <w:bCs w:val="0"/>
                <w:kern w:val="0"/>
                <w:sz w:val="18"/>
                <w:szCs w:val="18"/>
                <w:lang w:val="en-US" w:eastAsia="zh-CN"/>
              </w:rPr>
            </w:pPr>
            <w:r>
              <w:rPr>
                <w:rFonts w:hint="eastAsia" w:ascii="宋体" w:hAnsi="宋体" w:cs="宋体"/>
                <w:bCs/>
                <w:kern w:val="0"/>
                <w:sz w:val="18"/>
                <w:szCs w:val="18"/>
                <w:lang w:eastAsia="zh-CN"/>
              </w:rPr>
              <w:t>开源HDFS</w:t>
            </w:r>
            <w:r>
              <w:rPr>
                <w:rFonts w:hint="eastAsia" w:ascii="宋体" w:hAnsi="宋体" w:cs="宋体"/>
                <w:bCs/>
                <w:kern w:val="0"/>
                <w:sz w:val="18"/>
                <w:szCs w:val="18"/>
                <w:lang w:val="en-US" w:eastAsia="zh-CN"/>
              </w:rPr>
              <w:t xml:space="preserve"> </w:t>
            </w:r>
            <w:r>
              <w:rPr>
                <w:rFonts w:hint="eastAsia" w:ascii="宋体" w:hAnsi="宋体" w:cs="宋体"/>
                <w:bCs/>
                <w:kern w:val="0"/>
                <w:sz w:val="18"/>
                <w:szCs w:val="18"/>
                <w:lang w:eastAsia="zh-CN"/>
              </w:rPr>
              <w:t>ZooKeeper</w:t>
            </w:r>
            <w:r>
              <w:rPr>
                <w:rFonts w:hint="eastAsia" w:ascii="宋体" w:hAnsi="宋体" w:cs="宋体"/>
                <w:bCs/>
                <w:kern w:val="0"/>
                <w:sz w:val="18"/>
                <w:szCs w:val="18"/>
                <w:lang w:val="en-US" w:eastAsia="zh-CN"/>
              </w:rPr>
              <w:t xml:space="preserve"> </w:t>
            </w:r>
            <w:r>
              <w:rPr>
                <w:rFonts w:hint="eastAsia" w:ascii="宋体" w:hAnsi="宋体" w:cs="宋体"/>
                <w:bCs/>
                <w:kern w:val="0"/>
                <w:sz w:val="18"/>
                <w:szCs w:val="18"/>
                <w:lang w:eastAsia="zh-CN"/>
              </w:rPr>
              <w:t>HBaseMap/Reduce</w:t>
            </w:r>
            <w:r>
              <w:rPr>
                <w:rFonts w:hint="eastAsia" w:ascii="宋体" w:hAnsi="宋体" w:cs="宋体"/>
                <w:bCs/>
                <w:kern w:val="0"/>
                <w:sz w:val="18"/>
                <w:szCs w:val="18"/>
                <w:lang w:val="en-US" w:eastAsia="zh-CN"/>
              </w:rPr>
              <w:t xml:space="preserve"> </w:t>
            </w:r>
            <w:r>
              <w:rPr>
                <w:rFonts w:hint="eastAsia" w:ascii="宋体" w:hAnsi="宋体" w:cs="宋体"/>
                <w:bCs/>
                <w:kern w:val="0"/>
                <w:sz w:val="18"/>
                <w:szCs w:val="18"/>
                <w:lang w:eastAsia="zh-CN"/>
              </w:rPr>
              <w:t>Hive</w:t>
            </w:r>
            <w:r>
              <w:rPr>
                <w:rFonts w:hint="eastAsia" w:ascii="宋体" w:hAnsi="宋体" w:cs="宋体"/>
                <w:bCs/>
                <w:kern w:val="0"/>
                <w:sz w:val="18"/>
                <w:szCs w:val="18"/>
                <w:lang w:val="en-US" w:eastAsia="zh-CN"/>
              </w:rPr>
              <w:t xml:space="preserve"> </w:t>
            </w:r>
            <w:r>
              <w:rPr>
                <w:rFonts w:hint="eastAsia" w:ascii="宋体" w:hAnsi="宋体" w:cs="宋体"/>
                <w:bCs/>
                <w:kern w:val="0"/>
                <w:sz w:val="18"/>
                <w:szCs w:val="18"/>
                <w:lang w:eastAsia="zh-CN"/>
              </w:rPr>
              <w:t>Nagios</w:t>
            </w:r>
            <w:r>
              <w:rPr>
                <w:rFonts w:hint="eastAsia" w:ascii="宋体" w:hAnsi="宋体" w:cs="宋体"/>
                <w:bCs/>
                <w:kern w:val="0"/>
                <w:sz w:val="18"/>
                <w:szCs w:val="18"/>
                <w:lang w:val="en-US" w:eastAsia="zh-CN"/>
              </w:rPr>
              <w:t xml:space="preserve"> </w:t>
            </w:r>
            <w:r>
              <w:rPr>
                <w:rFonts w:hint="eastAsia" w:ascii="宋体" w:hAnsi="宋体" w:cs="宋体"/>
                <w:bCs/>
                <w:kern w:val="0"/>
                <w:sz w:val="18"/>
                <w:szCs w:val="18"/>
                <w:lang w:eastAsia="zh-CN"/>
              </w:rPr>
              <w:t>Pigganglia</w:t>
            </w:r>
          </w:p>
        </w:tc>
        <w:tc>
          <w:tcPr>
            <w:tcW w:w="1336" w:type="dxa"/>
            <w:vAlign w:val="center"/>
          </w:tcPr>
          <w:p>
            <w:pPr>
              <w:jc w:val="center"/>
              <w:rPr>
                <w:rFonts w:ascii="宋体" w:hAnsi="宋体" w:cs="宋体"/>
                <w:bCs/>
                <w:kern w:val="0"/>
                <w:sz w:val="18"/>
                <w:szCs w:val="18"/>
              </w:rPr>
            </w:pPr>
            <w:r>
              <w:rPr>
                <w:rFonts w:hint="eastAsia" w:ascii="宋体" w:hAnsi="宋体" w:cs="宋体"/>
                <w:bCs/>
                <w:kern w:val="0"/>
                <w:sz w:val="18"/>
                <w:szCs w:val="18"/>
              </w:rPr>
              <w:t>1套</w:t>
            </w:r>
          </w:p>
        </w:tc>
      </w:tr>
    </w:tbl>
    <w:p>
      <w:pPr>
        <w:rPr>
          <w:b/>
          <w:sz w:val="28"/>
          <w:szCs w:val="28"/>
        </w:rPr>
      </w:pPr>
    </w:p>
    <w:p>
      <w:pPr>
        <w:rPr>
          <w:b/>
          <w:sz w:val="28"/>
          <w:szCs w:val="28"/>
        </w:rPr>
      </w:pPr>
    </w:p>
    <w:p>
      <w:pPr>
        <w:pStyle w:val="3"/>
        <w:spacing w:after="312"/>
      </w:pPr>
      <w:bookmarkStart w:id="9" w:name="_Toc10547"/>
      <w:r>
        <w:rPr>
          <w:rFonts w:hint="eastAsia"/>
        </w:rPr>
        <w:t>3.2 技术参数</w:t>
      </w:r>
      <w:bookmarkEnd w:id="9"/>
    </w:p>
    <w:p>
      <w:pPr>
        <w:rPr>
          <w:b/>
          <w:sz w:val="28"/>
          <w:szCs w:val="28"/>
        </w:rPr>
      </w:pPr>
      <w:r>
        <w:rPr>
          <w:rFonts w:hint="eastAsia"/>
          <w:b/>
          <w:sz w:val="28"/>
          <w:szCs w:val="28"/>
        </w:rPr>
        <w:t>一、计算系统技术参数</w:t>
      </w:r>
    </w:p>
    <w:tbl>
      <w:tblPr>
        <w:tblStyle w:val="15"/>
        <w:tblW w:w="7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310" w:type="dxa"/>
            <w:gridSpan w:val="2"/>
            <w:vAlign w:val="top"/>
          </w:tcPr>
          <w:p>
            <w:pPr>
              <w:rPr>
                <w:rFonts w:ascii="黑体" w:hAnsi="黑体" w:eastAsia="黑体" w:cs="Calibri"/>
                <w:sz w:val="28"/>
                <w:szCs w:val="28"/>
              </w:rPr>
            </w:pPr>
            <w:r>
              <w:rPr>
                <w:rFonts w:hint="eastAsia" w:ascii="黑体" w:hAnsi="黑体" w:eastAsia="黑体" w:cs="Calibri"/>
                <w:sz w:val="28"/>
                <w:szCs w:val="28"/>
              </w:rPr>
              <w:t>管理节点（总计配置2个管理节点，以下为单个节点要求）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技术指标</w:t>
            </w:r>
          </w:p>
        </w:tc>
        <w:tc>
          <w:tcPr>
            <w:tcW w:w="5501"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服务器类型</w:t>
            </w:r>
          </w:p>
        </w:tc>
        <w:tc>
          <w:tcPr>
            <w:tcW w:w="5501" w:type="dxa"/>
            <w:vAlign w:val="center"/>
          </w:tcPr>
          <w:p>
            <w:pPr>
              <w:rPr>
                <w:rFonts w:ascii="仿宋_GB2312" w:hAnsi="仿宋" w:eastAsia="仿宋_GB2312" w:cs="Tahoma"/>
                <w:kern w:val="0"/>
                <w:szCs w:val="21"/>
              </w:rPr>
            </w:pPr>
            <w:r>
              <w:rPr>
                <w:rFonts w:ascii="仿宋_GB2312" w:hAnsi="仿宋" w:eastAsia="仿宋_GB2312" w:cs="Tahoma"/>
                <w:kern w:val="0"/>
                <w:szCs w:val="21"/>
              </w:rPr>
              <w:t>2U机架式服务器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CPU</w:t>
            </w:r>
          </w:p>
        </w:tc>
        <w:tc>
          <w:tcPr>
            <w:tcW w:w="5501" w:type="dxa"/>
            <w:vAlign w:val="center"/>
          </w:tcPr>
          <w:p>
            <w:pPr>
              <w:rPr>
                <w:rFonts w:ascii="仿宋_GB2312" w:hAnsi="仿宋" w:eastAsia="仿宋_GB2312" w:cs="Tahoma"/>
                <w:kern w:val="0"/>
                <w:szCs w:val="21"/>
              </w:rPr>
            </w:pPr>
            <w:r>
              <w:rPr>
                <w:rFonts w:hint="eastAsia" w:ascii="仿宋_GB2312" w:hAnsi="仿宋" w:eastAsia="仿宋_GB2312" w:cs="Tahoma"/>
                <w:kern w:val="0"/>
                <w:szCs w:val="21"/>
              </w:rPr>
              <w:t>2*Intel Xeon E5-26</w:t>
            </w:r>
            <w:r>
              <w:rPr>
                <w:rFonts w:hint="eastAsia" w:ascii="仿宋_GB2312" w:hAnsi="仿宋" w:eastAsia="仿宋_GB2312" w:cs="Tahoma"/>
                <w:kern w:val="0"/>
                <w:szCs w:val="21"/>
                <w:lang w:val="en-US" w:eastAsia="zh-CN"/>
              </w:rPr>
              <w:t>3</w:t>
            </w:r>
            <w:r>
              <w:rPr>
                <w:rFonts w:hint="eastAsia" w:ascii="仿宋_GB2312" w:hAnsi="仿宋" w:eastAsia="仿宋_GB2312" w:cs="Tahoma"/>
                <w:kern w:val="0"/>
                <w:szCs w:val="21"/>
              </w:rPr>
              <w:t>0v3(2.4GHz/</w:t>
            </w:r>
            <w:r>
              <w:rPr>
                <w:rFonts w:hint="eastAsia" w:ascii="仿宋_GB2312" w:hAnsi="仿宋" w:eastAsia="仿宋_GB2312" w:cs="Tahoma"/>
                <w:kern w:val="0"/>
                <w:szCs w:val="21"/>
                <w:lang w:val="en-US" w:eastAsia="zh-CN"/>
              </w:rPr>
              <w:t>8</w:t>
            </w:r>
            <w:r>
              <w:rPr>
                <w:rFonts w:hint="eastAsia" w:ascii="仿宋_GB2312" w:hAnsi="仿宋" w:eastAsia="仿宋_GB2312" w:cs="Tahoma"/>
                <w:kern w:val="0"/>
                <w:szCs w:val="21"/>
              </w:rPr>
              <w:t>c)或以上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内存</w:t>
            </w:r>
          </w:p>
        </w:tc>
        <w:tc>
          <w:tcPr>
            <w:tcW w:w="5501" w:type="dxa"/>
            <w:vAlign w:val="center"/>
          </w:tcPr>
          <w:p>
            <w:pPr>
              <w:rPr>
                <w:rFonts w:ascii="仿宋_GB2312" w:hAnsi="仿宋" w:eastAsia="仿宋_GB2312" w:cs="Tahoma"/>
                <w:kern w:val="0"/>
                <w:szCs w:val="21"/>
              </w:rPr>
            </w:pPr>
            <w:r>
              <w:rPr>
                <w:rFonts w:hint="eastAsia" w:ascii="仿宋_GB2312" w:hAnsi="仿宋" w:eastAsia="仿宋_GB2312" w:cs="Tahoma"/>
                <w:kern w:val="0"/>
                <w:szCs w:val="21"/>
              </w:rPr>
              <w:t>8</w:t>
            </w:r>
            <w:r>
              <w:rPr>
                <w:rFonts w:ascii="仿宋_GB2312" w:hAnsi="仿宋" w:eastAsia="仿宋_GB2312" w:cs="Tahoma"/>
                <w:kern w:val="0"/>
                <w:szCs w:val="21"/>
              </w:rPr>
              <w:t xml:space="preserve">* </w:t>
            </w:r>
            <w:r>
              <w:rPr>
                <w:rFonts w:hint="eastAsia" w:ascii="仿宋_GB2312" w:hAnsi="仿宋" w:eastAsia="仿宋_GB2312" w:cs="Tahoma"/>
                <w:kern w:val="0"/>
                <w:szCs w:val="21"/>
              </w:rPr>
              <w:t>16G ECC Registered DDR4 2133内存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4"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硬盘</w:t>
            </w:r>
          </w:p>
        </w:tc>
        <w:tc>
          <w:tcPr>
            <w:tcW w:w="5501" w:type="dxa"/>
            <w:vAlign w:val="center"/>
          </w:tcPr>
          <w:p>
            <w:pPr>
              <w:rPr>
                <w:rFonts w:ascii="仿宋_GB2312" w:hAnsi="仿宋" w:eastAsia="仿宋_GB2312" w:cs="Tahoma"/>
                <w:kern w:val="0"/>
                <w:szCs w:val="21"/>
              </w:rPr>
            </w:pPr>
            <w:r>
              <w:rPr>
                <w:rFonts w:hint="eastAsia" w:ascii="仿宋_GB2312" w:hAnsi="仿宋" w:eastAsia="仿宋_GB2312" w:cs="Tahoma"/>
                <w:kern w:val="0"/>
                <w:szCs w:val="21"/>
              </w:rPr>
              <w:t>4*300GB  1</w:t>
            </w:r>
            <w:r>
              <w:rPr>
                <w:rFonts w:hint="eastAsia" w:ascii="仿宋_GB2312" w:hAnsi="仿宋" w:eastAsia="仿宋_GB2312" w:cs="Tahoma"/>
                <w:kern w:val="0"/>
                <w:szCs w:val="21"/>
                <w:lang w:val="en-US" w:eastAsia="zh-CN"/>
              </w:rPr>
              <w:t>0</w:t>
            </w:r>
            <w:r>
              <w:rPr>
                <w:rFonts w:hint="eastAsia" w:ascii="仿宋_GB2312" w:hAnsi="仿宋" w:eastAsia="仿宋_GB2312" w:cs="Tahoma"/>
                <w:kern w:val="0"/>
                <w:szCs w:val="21"/>
              </w:rPr>
              <w:t xml:space="preserve">Krpm </w:t>
            </w:r>
            <w:r>
              <w:rPr>
                <w:rFonts w:ascii="仿宋_GB2312" w:hAnsi="仿宋" w:eastAsia="仿宋_GB2312" w:cs="Tahoma"/>
                <w:kern w:val="0"/>
                <w:szCs w:val="21"/>
              </w:rPr>
              <w:t>2.5"</w:t>
            </w:r>
            <w:r>
              <w:rPr>
                <w:rFonts w:hint="eastAsia" w:ascii="仿宋_GB2312" w:hAnsi="仿宋" w:eastAsia="仿宋_GB2312" w:cs="Tahoma"/>
                <w:kern w:val="0"/>
                <w:szCs w:val="21"/>
              </w:rPr>
              <w:t xml:space="preserve"> 热插拔 SAS硬盘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网卡</w:t>
            </w:r>
          </w:p>
        </w:tc>
        <w:tc>
          <w:tcPr>
            <w:tcW w:w="5501" w:type="dxa"/>
            <w:vAlign w:val="center"/>
          </w:tcPr>
          <w:p>
            <w:pPr>
              <w:rPr>
                <w:rFonts w:hint="eastAsia" w:ascii="仿宋_GB2312" w:hAnsi="仿宋" w:eastAsia="仿宋_GB2312" w:cs="Tahoma"/>
                <w:kern w:val="0"/>
                <w:szCs w:val="21"/>
              </w:rPr>
            </w:pPr>
            <w:r>
              <w:rPr>
                <w:rFonts w:hint="eastAsia" w:ascii="仿宋_GB2312" w:hAnsi="仿宋" w:eastAsia="仿宋_GB2312" w:cs="Tahoma"/>
                <w:kern w:val="0"/>
                <w:szCs w:val="21"/>
              </w:rPr>
              <w:t>≥2个</w:t>
            </w:r>
            <w:r>
              <w:rPr>
                <w:rFonts w:hint="eastAsia" w:ascii="仿宋_GB2312" w:hAnsi="仿宋" w:eastAsia="仿宋_GB2312" w:cs="Tahoma"/>
                <w:kern w:val="0"/>
                <w:szCs w:val="21"/>
                <w:lang w:eastAsia="zh-CN"/>
              </w:rPr>
              <w:t>千</w:t>
            </w:r>
            <w:r>
              <w:rPr>
                <w:rFonts w:hint="eastAsia" w:ascii="仿宋_GB2312" w:hAnsi="仿宋" w:eastAsia="仿宋_GB2312" w:cs="Tahoma"/>
                <w:kern w:val="0"/>
                <w:szCs w:val="21"/>
              </w:rPr>
              <w:t>兆网卡端口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1809" w:type="dxa"/>
            <w:vAlign w:val="center"/>
          </w:tcPr>
          <w:p>
            <w:pPr>
              <w:jc w:val="center"/>
              <w:rPr>
                <w:rFonts w:hint="eastAsia" w:ascii="仿宋_GB2312" w:hAnsi="仿宋" w:eastAsia="仿宋_GB2312" w:cs="Tahoma"/>
                <w:kern w:val="0"/>
                <w:szCs w:val="21"/>
              </w:rPr>
            </w:pPr>
            <w:r>
              <w:rPr>
                <w:rFonts w:ascii="仿宋_GB2312" w:hAnsi="仿宋" w:eastAsia="仿宋_GB2312" w:cs="Tahoma"/>
                <w:kern w:val="0"/>
                <w:szCs w:val="21"/>
              </w:rPr>
              <w:t>RAID</w:t>
            </w:r>
            <w:r>
              <w:rPr>
                <w:rFonts w:hint="eastAsia" w:ascii="仿宋_GB2312" w:hAnsi="仿宋" w:eastAsia="仿宋_GB2312" w:cs="Tahoma"/>
                <w:kern w:val="0"/>
                <w:szCs w:val="21"/>
              </w:rPr>
              <w:t>卡</w:t>
            </w:r>
          </w:p>
        </w:tc>
        <w:tc>
          <w:tcPr>
            <w:tcW w:w="5501" w:type="dxa"/>
            <w:vAlign w:val="center"/>
          </w:tcPr>
          <w:p>
            <w:pPr>
              <w:rPr>
                <w:rFonts w:hint="eastAsia" w:ascii="仿宋_GB2312" w:hAnsi="仿宋" w:eastAsia="仿宋_GB2312" w:cs="Tahoma"/>
                <w:kern w:val="0"/>
                <w:szCs w:val="21"/>
              </w:rPr>
            </w:pPr>
            <w:r>
              <w:rPr>
                <w:rFonts w:hint="eastAsia" w:ascii="仿宋_GB2312" w:hAnsi="仿宋" w:eastAsia="仿宋_GB2312" w:cs="Tahoma"/>
                <w:kern w:val="0"/>
                <w:szCs w:val="21"/>
                <w:lang w:val="en-US" w:eastAsia="zh-CN"/>
              </w:rPr>
              <w:t>2</w:t>
            </w:r>
            <w:r>
              <w:rPr>
                <w:rFonts w:ascii="仿宋_GB2312" w:hAnsi="仿宋" w:eastAsia="仿宋_GB2312" w:cs="Tahoma"/>
                <w:kern w:val="0"/>
                <w:szCs w:val="21"/>
              </w:rPr>
              <w:t>G 八通道 6Gb SAS RAID卡，支持RAID0、1、5、6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1809" w:type="dxa"/>
            <w:vAlign w:val="center"/>
          </w:tcPr>
          <w:p>
            <w:pPr>
              <w:jc w:val="center"/>
              <w:rPr>
                <w:rFonts w:ascii="Times New Roman" w:hAnsi="Times New Roman" w:cs="Times New Roman"/>
                <w:color w:val="000000"/>
                <w:sz w:val="24"/>
                <w:szCs w:val="24"/>
              </w:rPr>
            </w:pPr>
            <w:r>
              <w:rPr>
                <w:rFonts w:ascii="仿宋_GB2312" w:hAnsi="仿宋" w:eastAsia="仿宋_GB2312" w:cs="Tahoma"/>
                <w:kern w:val="0"/>
                <w:szCs w:val="21"/>
              </w:rPr>
              <w:t>光驱</w:t>
            </w:r>
          </w:p>
        </w:tc>
        <w:tc>
          <w:tcPr>
            <w:tcW w:w="5501" w:type="dxa"/>
            <w:vAlign w:val="center"/>
          </w:tcPr>
          <w:p>
            <w:pPr>
              <w:widowControl/>
              <w:jc w:val="left"/>
              <w:textAlignment w:val="center"/>
              <w:rPr>
                <w:rFonts w:ascii="仿宋_GB2312" w:hAnsi="仿宋" w:eastAsia="仿宋_GB2312" w:cs="Tahoma"/>
                <w:kern w:val="0"/>
                <w:szCs w:val="21"/>
              </w:rPr>
            </w:pPr>
            <w:r>
              <w:rPr>
                <w:rFonts w:ascii="仿宋_GB2312" w:hAnsi="仿宋" w:eastAsia="仿宋_GB2312" w:cs="Tahoma"/>
                <w:kern w:val="0"/>
                <w:szCs w:val="21"/>
              </w:rPr>
              <w:t>DVD-RW光驱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809" w:type="dxa"/>
            <w:vAlign w:val="center"/>
          </w:tcPr>
          <w:p>
            <w:pPr>
              <w:jc w:val="center"/>
              <w:rPr>
                <w:rFonts w:ascii="仿宋_GB2312" w:hAnsi="仿宋" w:eastAsia="仿宋_GB2312" w:cs="Tahoma"/>
                <w:kern w:val="0"/>
                <w:szCs w:val="21"/>
              </w:rPr>
            </w:pPr>
            <w:r>
              <w:rPr>
                <w:rFonts w:ascii="仿宋_GB2312" w:hAnsi="仿宋" w:eastAsia="仿宋_GB2312" w:cs="Tahoma"/>
                <w:kern w:val="0"/>
                <w:szCs w:val="21"/>
              </w:rPr>
              <w:t>管理</w:t>
            </w:r>
          </w:p>
        </w:tc>
        <w:tc>
          <w:tcPr>
            <w:tcW w:w="5501" w:type="dxa"/>
            <w:vAlign w:val="center"/>
          </w:tcPr>
          <w:p>
            <w:pPr>
              <w:rPr>
                <w:rFonts w:ascii="仿宋_GB2312" w:hAnsi="仿宋" w:eastAsia="仿宋_GB2312" w:cs="Tahoma"/>
                <w:kern w:val="0"/>
                <w:szCs w:val="21"/>
              </w:rPr>
            </w:pPr>
            <w:r>
              <w:rPr>
                <w:rFonts w:ascii="仿宋_GB2312" w:hAnsi="仿宋" w:eastAsia="仿宋_GB2312" w:cs="Tahoma"/>
                <w:kern w:val="0"/>
                <w:szCs w:val="21"/>
              </w:rPr>
              <w:t>支持IPMI2.0 和KVM Over IP高级管理功能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809" w:type="dxa"/>
            <w:vAlign w:val="center"/>
          </w:tcPr>
          <w:p>
            <w:pPr>
              <w:jc w:val="center"/>
              <w:rPr>
                <w:rFonts w:ascii="仿宋_GB2312" w:hAnsi="仿宋" w:eastAsia="仿宋_GB2312" w:cs="Tahoma"/>
                <w:kern w:val="0"/>
                <w:szCs w:val="21"/>
              </w:rPr>
            </w:pPr>
            <w:r>
              <w:rPr>
                <w:rFonts w:ascii="仿宋_GB2312" w:hAnsi="仿宋" w:eastAsia="仿宋_GB2312" w:cs="Tahoma"/>
                <w:kern w:val="0"/>
                <w:szCs w:val="21"/>
              </w:rPr>
              <w:t>电源</w:t>
            </w:r>
          </w:p>
        </w:tc>
        <w:tc>
          <w:tcPr>
            <w:tcW w:w="5501" w:type="dxa"/>
            <w:vAlign w:val="center"/>
          </w:tcPr>
          <w:p>
            <w:pPr>
              <w:rPr>
                <w:rFonts w:ascii="仿宋_GB2312" w:hAnsi="仿宋" w:eastAsia="仿宋_GB2312" w:cs="Tahoma"/>
                <w:kern w:val="0"/>
                <w:szCs w:val="21"/>
              </w:rPr>
            </w:pPr>
            <w:r>
              <w:rPr>
                <w:rFonts w:ascii="仿宋_GB2312" w:hAnsi="仿宋" w:eastAsia="仿宋_GB2312" w:cs="Tahoma"/>
                <w:kern w:val="0"/>
                <w:szCs w:val="21"/>
              </w:rPr>
              <w:t>冗余电源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2" w:hRule="atLeast"/>
          <w:jc w:val="center"/>
        </w:trPr>
        <w:tc>
          <w:tcPr>
            <w:tcW w:w="1809" w:type="dxa"/>
            <w:vAlign w:val="center"/>
          </w:tcPr>
          <w:p>
            <w:pPr>
              <w:jc w:val="center"/>
              <w:rPr>
                <w:rFonts w:ascii="仿宋_GB2312" w:hAnsi="仿宋" w:eastAsia="仿宋_GB2312" w:cs="Tahoma"/>
                <w:kern w:val="0"/>
                <w:szCs w:val="21"/>
              </w:rPr>
            </w:pPr>
            <w:r>
              <w:rPr>
                <w:rFonts w:ascii="仿宋_GB2312" w:hAnsi="仿宋" w:eastAsia="仿宋_GB2312" w:cs="Tahoma"/>
                <w:kern w:val="0"/>
                <w:szCs w:val="21"/>
              </w:rPr>
              <w:t>风扇</w:t>
            </w:r>
          </w:p>
        </w:tc>
        <w:tc>
          <w:tcPr>
            <w:tcW w:w="5501" w:type="dxa"/>
            <w:vAlign w:val="center"/>
          </w:tcPr>
          <w:p>
            <w:pPr>
              <w:rPr>
                <w:rFonts w:ascii="仿宋_GB2312" w:hAnsi="仿宋" w:eastAsia="仿宋_GB2312" w:cs="Tahoma"/>
                <w:kern w:val="0"/>
                <w:szCs w:val="21"/>
              </w:rPr>
            </w:pPr>
            <w:r>
              <w:rPr>
                <w:rFonts w:ascii="仿宋_GB2312" w:hAnsi="仿宋" w:eastAsia="仿宋_GB2312" w:cs="Tahoma"/>
                <w:kern w:val="0"/>
                <w:szCs w:val="21"/>
              </w:rPr>
              <w:t>4个系统风扇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5"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支持的操作系统</w:t>
            </w:r>
          </w:p>
        </w:tc>
        <w:tc>
          <w:tcPr>
            <w:tcW w:w="5501" w:type="dxa"/>
            <w:vAlign w:val="center"/>
          </w:tcPr>
          <w:p>
            <w:pPr>
              <w:rPr>
                <w:rFonts w:ascii="仿宋_GB2312" w:hAnsi="仿宋" w:eastAsia="仿宋_GB2312" w:cs="Tahoma"/>
                <w:kern w:val="0"/>
                <w:szCs w:val="21"/>
              </w:rPr>
            </w:pPr>
            <w:r>
              <w:rPr>
                <w:rFonts w:ascii="仿宋_GB2312" w:hAnsi="仿宋" w:eastAsia="仿宋_GB2312" w:cs="Tahoma"/>
                <w:kern w:val="0"/>
                <w:szCs w:val="21"/>
              </w:rPr>
              <w:t>Microsoft</w:t>
            </w:r>
            <w:r>
              <w:rPr>
                <w:rFonts w:hint="eastAsia" w:ascii="仿宋_GB2312" w:hAnsi="仿宋" w:eastAsia="仿宋_GB2312" w:cs="Tahoma"/>
                <w:kern w:val="0"/>
                <w:szCs w:val="21"/>
              </w:rPr>
              <w:t>®</w:t>
            </w:r>
            <w:r>
              <w:rPr>
                <w:rFonts w:ascii="仿宋_GB2312" w:hAnsi="仿宋" w:eastAsia="仿宋_GB2312" w:cs="Tahoma"/>
                <w:kern w:val="0"/>
                <w:szCs w:val="21"/>
              </w:rPr>
              <w:t xml:space="preserve"> Windows</w:t>
            </w:r>
            <w:r>
              <w:rPr>
                <w:rFonts w:hint="eastAsia" w:ascii="仿宋_GB2312" w:hAnsi="仿宋" w:eastAsia="仿宋_GB2312" w:cs="Tahoma"/>
                <w:kern w:val="0"/>
                <w:szCs w:val="21"/>
              </w:rPr>
              <w:t>®</w:t>
            </w:r>
            <w:r>
              <w:rPr>
                <w:rFonts w:ascii="仿宋_GB2312" w:hAnsi="仿宋" w:eastAsia="仿宋_GB2312" w:cs="Tahoma"/>
                <w:kern w:val="0"/>
                <w:szCs w:val="21"/>
              </w:rPr>
              <w:t>、Red Hat Enterprise Linux</w:t>
            </w:r>
            <w:r>
              <w:rPr>
                <w:rFonts w:hint="eastAsia" w:ascii="仿宋_GB2312" w:hAnsi="仿宋" w:eastAsia="仿宋_GB2312" w:cs="Tahoma"/>
                <w:kern w:val="0"/>
                <w:szCs w:val="21"/>
              </w:rPr>
              <w:t>®</w:t>
            </w:r>
            <w:r>
              <w:rPr>
                <w:rFonts w:ascii="仿宋_GB2312" w:hAnsi="仿宋" w:eastAsia="仿宋_GB2312" w:cs="Tahoma"/>
                <w:kern w:val="0"/>
                <w:szCs w:val="21"/>
              </w:rPr>
              <w:t>、SUSE Linux Enterprise、Oracle Solaris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7"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其他配件</w:t>
            </w:r>
          </w:p>
        </w:tc>
        <w:tc>
          <w:tcPr>
            <w:tcW w:w="5501" w:type="dxa"/>
            <w:vAlign w:val="center"/>
          </w:tcPr>
          <w:p>
            <w:pPr>
              <w:rPr>
                <w:rFonts w:ascii="仿宋_GB2312" w:hAnsi="仿宋" w:eastAsia="仿宋_GB2312" w:cs="Tahoma"/>
                <w:kern w:val="0"/>
                <w:szCs w:val="21"/>
              </w:rPr>
            </w:pPr>
            <w:r>
              <w:rPr>
                <w:rFonts w:hint="eastAsia" w:ascii="仿宋_GB2312" w:hAnsi="仿宋" w:eastAsia="仿宋_GB2312" w:cs="Tahoma"/>
                <w:kern w:val="0"/>
                <w:szCs w:val="21"/>
              </w:rPr>
              <w:t>提供投标设备正常运行需使用的特别支架、导轨、接头、电缆、光纤跳线等附件。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rPr>
                <w:rFonts w:cs="Calibri"/>
                <w:sz w:val="28"/>
                <w:szCs w:val="28"/>
              </w:rPr>
            </w:pPr>
            <w:r>
              <w:rPr>
                <w:rFonts w:hint="eastAsia" w:ascii="黑体" w:hAnsi="黑体" w:eastAsia="黑体" w:cs="Calibri"/>
                <w:sz w:val="28"/>
                <w:szCs w:val="28"/>
              </w:rPr>
              <w:t>计算节点（总计配置</w:t>
            </w:r>
            <w:r>
              <w:rPr>
                <w:rFonts w:hint="eastAsia" w:ascii="黑体" w:hAnsi="黑体" w:eastAsia="黑体" w:cs="Calibri"/>
                <w:sz w:val="28"/>
                <w:szCs w:val="28"/>
                <w:lang w:val="en-US" w:eastAsia="zh-CN"/>
              </w:rPr>
              <w:t>6</w:t>
            </w:r>
            <w:r>
              <w:rPr>
                <w:rFonts w:hint="eastAsia" w:ascii="黑体" w:hAnsi="黑体" w:eastAsia="黑体" w:cs="Calibri"/>
                <w:sz w:val="28"/>
                <w:szCs w:val="28"/>
              </w:rPr>
              <w:t>个计算节点，以下为单个节点要求）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技术指标</w:t>
            </w:r>
          </w:p>
        </w:tc>
        <w:tc>
          <w:tcPr>
            <w:tcW w:w="5501" w:type="dxa"/>
            <w:vAlign w:val="center"/>
          </w:tcPr>
          <w:p>
            <w:pPr>
              <w:snapToGrid w:val="0"/>
              <w:jc w:val="center"/>
              <w:rPr>
                <w:rFonts w:ascii="宋体" w:hAnsi="宋体" w:cs="Calibri"/>
                <w:b/>
                <w:color w:val="000000"/>
                <w:sz w:val="28"/>
                <w:szCs w:val="28"/>
              </w:rPr>
            </w:pPr>
            <w:r>
              <w:rPr>
                <w:rFonts w:hint="eastAsia" w:ascii="宋体" w:hAnsi="宋体" w:cs="Calibri"/>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服务器类型</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2U机架式服务器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CPU</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hint="eastAsia" w:ascii="仿宋_GB2312" w:hAnsi="仿宋" w:eastAsia="仿宋_GB2312" w:cs="Tahoma"/>
                <w:kern w:val="0"/>
                <w:szCs w:val="21"/>
              </w:rPr>
              <w:t>2*Intel Xeon E5-26</w:t>
            </w:r>
            <w:r>
              <w:rPr>
                <w:rFonts w:hint="eastAsia" w:ascii="仿宋_GB2312" w:hAnsi="仿宋" w:eastAsia="仿宋_GB2312" w:cs="Tahoma"/>
                <w:kern w:val="0"/>
                <w:szCs w:val="21"/>
                <w:lang w:val="en-US" w:eastAsia="zh-CN"/>
              </w:rPr>
              <w:t>3</w:t>
            </w:r>
            <w:r>
              <w:rPr>
                <w:rFonts w:hint="eastAsia" w:ascii="仿宋_GB2312" w:hAnsi="仿宋" w:eastAsia="仿宋_GB2312" w:cs="Tahoma"/>
                <w:kern w:val="0"/>
                <w:szCs w:val="21"/>
              </w:rPr>
              <w:t>0v3(2.4GHz/</w:t>
            </w:r>
            <w:r>
              <w:rPr>
                <w:rFonts w:hint="eastAsia" w:ascii="仿宋_GB2312" w:hAnsi="仿宋" w:eastAsia="仿宋_GB2312" w:cs="Tahoma"/>
                <w:kern w:val="0"/>
                <w:szCs w:val="21"/>
                <w:lang w:val="en-US" w:eastAsia="zh-CN"/>
              </w:rPr>
              <w:t>8</w:t>
            </w:r>
            <w:r>
              <w:rPr>
                <w:rFonts w:hint="eastAsia" w:ascii="仿宋_GB2312" w:hAnsi="仿宋" w:eastAsia="仿宋_GB2312" w:cs="Tahoma"/>
                <w:kern w:val="0"/>
                <w:szCs w:val="21"/>
              </w:rPr>
              <w:t>c)或以上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内存</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hint="eastAsia" w:ascii="仿宋_GB2312" w:hAnsi="仿宋" w:eastAsia="仿宋_GB2312" w:cs="Tahoma"/>
                <w:kern w:val="0"/>
                <w:szCs w:val="21"/>
              </w:rPr>
              <w:t>4</w:t>
            </w:r>
            <w:r>
              <w:rPr>
                <w:rFonts w:ascii="仿宋_GB2312" w:hAnsi="仿宋" w:eastAsia="仿宋_GB2312" w:cs="Tahoma"/>
                <w:kern w:val="0"/>
                <w:szCs w:val="21"/>
              </w:rPr>
              <w:t xml:space="preserve">* </w:t>
            </w:r>
            <w:r>
              <w:rPr>
                <w:rFonts w:hint="eastAsia" w:ascii="仿宋_GB2312" w:hAnsi="仿宋" w:eastAsia="仿宋_GB2312" w:cs="Tahoma"/>
                <w:kern w:val="0"/>
                <w:szCs w:val="21"/>
              </w:rPr>
              <w:t>16G ECC Registered DDR4 2133内存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1809" w:type="dxa"/>
            <w:tcBorders>
              <w:left w:val="single" w:color="auto" w:sz="4" w:space="0"/>
              <w:bottom w:val="single" w:color="auto" w:sz="4" w:space="0"/>
              <w:right w:val="single" w:color="auto" w:sz="4" w:space="0"/>
            </w:tcBorders>
            <w:vAlign w:val="center"/>
          </w:tcPr>
          <w:p>
            <w:pPr>
              <w:jc w:val="center"/>
              <w:rPr>
                <w:rFonts w:hint="eastAsia" w:ascii="仿宋_GB2312" w:hAnsi="仿宋" w:eastAsia="仿宋_GB2312" w:cs="Tahoma"/>
                <w:kern w:val="0"/>
                <w:szCs w:val="21"/>
                <w:lang w:eastAsia="zh-CN"/>
              </w:rPr>
            </w:pPr>
            <w:r>
              <w:rPr>
                <w:rFonts w:hint="eastAsia" w:ascii="仿宋_GB2312" w:hAnsi="仿宋" w:eastAsia="仿宋_GB2312" w:cs="Tahoma"/>
                <w:kern w:val="0"/>
                <w:szCs w:val="21"/>
                <w:lang w:eastAsia="zh-CN"/>
              </w:rPr>
              <w:t>硬盘</w:t>
            </w:r>
          </w:p>
        </w:tc>
        <w:tc>
          <w:tcPr>
            <w:tcW w:w="5501" w:type="dxa"/>
            <w:tcBorders>
              <w:top w:val="single" w:color="auto" w:sz="4" w:space="0"/>
              <w:left w:val="single" w:color="auto" w:sz="4" w:space="0"/>
              <w:bottom w:val="single" w:color="auto" w:sz="4" w:space="0"/>
              <w:right w:val="single" w:color="auto" w:sz="4" w:space="0"/>
            </w:tcBorders>
            <w:vAlign w:val="center"/>
          </w:tcPr>
          <w:p>
            <w:pPr>
              <w:rPr>
                <w:rFonts w:hint="eastAsia" w:ascii="仿宋_GB2312" w:hAnsi="仿宋" w:eastAsia="仿宋_GB2312" w:cs="Tahoma"/>
                <w:kern w:val="0"/>
                <w:szCs w:val="21"/>
              </w:rPr>
            </w:pPr>
            <w:r>
              <w:rPr>
                <w:rFonts w:hint="eastAsia" w:ascii="仿宋_GB2312" w:hAnsi="仿宋" w:eastAsia="仿宋_GB2312" w:cs="Tahoma"/>
                <w:kern w:val="0"/>
                <w:szCs w:val="21"/>
                <w:lang w:val="en-US" w:eastAsia="zh-CN"/>
              </w:rPr>
              <w:t>8</w:t>
            </w:r>
            <w:bookmarkStart w:id="13" w:name="_GoBack"/>
            <w:bookmarkEnd w:id="13"/>
            <w:r>
              <w:rPr>
                <w:rFonts w:ascii="仿宋_GB2312" w:hAnsi="仿宋" w:eastAsia="仿宋_GB2312" w:cs="Tahoma"/>
                <w:kern w:val="0"/>
                <w:szCs w:val="21"/>
              </w:rPr>
              <w:t xml:space="preserve">* </w:t>
            </w:r>
            <w:r>
              <w:rPr>
                <w:rFonts w:hint="eastAsia" w:ascii="仿宋_GB2312" w:hAnsi="仿宋" w:eastAsia="仿宋_GB2312" w:cs="Tahoma"/>
                <w:kern w:val="0"/>
                <w:szCs w:val="21"/>
                <w:lang w:val="en-US" w:eastAsia="zh-CN"/>
              </w:rPr>
              <w:t>1</w:t>
            </w:r>
            <w:r>
              <w:rPr>
                <w:rFonts w:ascii="仿宋_GB2312" w:hAnsi="仿宋" w:eastAsia="仿宋_GB2312" w:cs="Tahoma"/>
                <w:kern w:val="0"/>
                <w:szCs w:val="21"/>
              </w:rPr>
              <w:t xml:space="preserve">TB </w:t>
            </w:r>
            <w:r>
              <w:rPr>
                <w:rFonts w:hint="eastAsia" w:ascii="仿宋_GB2312" w:hAnsi="仿宋" w:eastAsia="仿宋_GB2312" w:cs="Tahoma"/>
                <w:kern w:val="0"/>
                <w:szCs w:val="21"/>
              </w:rPr>
              <w:t xml:space="preserve">7.2Krpm </w:t>
            </w:r>
            <w:r>
              <w:rPr>
                <w:rFonts w:ascii="仿宋_GB2312" w:hAnsi="仿宋" w:eastAsia="仿宋_GB2312" w:cs="Tahoma"/>
                <w:kern w:val="0"/>
                <w:szCs w:val="21"/>
              </w:rPr>
              <w:t>2.5"</w:t>
            </w:r>
            <w:r>
              <w:rPr>
                <w:rFonts w:hint="eastAsia" w:ascii="仿宋_GB2312" w:hAnsi="仿宋" w:eastAsia="仿宋_GB2312" w:cs="Tahoma"/>
                <w:kern w:val="0"/>
                <w:szCs w:val="21"/>
              </w:rPr>
              <w:t xml:space="preserve"> 热插拔 SATA硬盘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网卡</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hint="eastAsia" w:ascii="仿宋_GB2312" w:hAnsi="仿宋" w:eastAsia="仿宋_GB2312" w:cs="Tahoma"/>
                <w:kern w:val="0"/>
                <w:szCs w:val="21"/>
              </w:rPr>
              <w:t>≥2个</w:t>
            </w:r>
            <w:r>
              <w:rPr>
                <w:rFonts w:hint="eastAsia" w:ascii="仿宋_GB2312" w:hAnsi="仿宋" w:eastAsia="仿宋_GB2312" w:cs="Tahoma"/>
                <w:kern w:val="0"/>
                <w:szCs w:val="21"/>
                <w:lang w:eastAsia="zh-CN"/>
              </w:rPr>
              <w:t>千</w:t>
            </w:r>
            <w:r>
              <w:rPr>
                <w:rFonts w:hint="eastAsia" w:ascii="仿宋_GB2312" w:hAnsi="仿宋" w:eastAsia="仿宋_GB2312" w:cs="Tahoma"/>
                <w:kern w:val="0"/>
                <w:szCs w:val="21"/>
              </w:rPr>
              <w:t>兆网卡端口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ascii="仿宋_GB2312" w:hAnsi="仿宋" w:eastAsia="仿宋_GB2312" w:cs="Tahoma"/>
                <w:kern w:val="0"/>
                <w:szCs w:val="21"/>
              </w:rPr>
              <w:t>RAID卡</w:t>
            </w:r>
          </w:p>
        </w:tc>
        <w:tc>
          <w:tcPr>
            <w:tcW w:w="5501" w:type="dxa"/>
            <w:tcBorders>
              <w:top w:val="single" w:color="auto" w:sz="4" w:space="0"/>
              <w:left w:val="single" w:color="auto" w:sz="4" w:space="0"/>
              <w:bottom w:val="single" w:color="auto" w:sz="4" w:space="0"/>
              <w:right w:val="single" w:color="auto" w:sz="4" w:space="0"/>
            </w:tcBorders>
            <w:vAlign w:val="center"/>
          </w:tcPr>
          <w:p>
            <w:pPr>
              <w:jc w:val="both"/>
              <w:rPr>
                <w:rFonts w:ascii="仿宋_GB2312" w:hAnsi="仿宋" w:eastAsia="仿宋_GB2312" w:cs="Tahoma"/>
                <w:kern w:val="0"/>
                <w:szCs w:val="21"/>
              </w:rPr>
            </w:pPr>
            <w:r>
              <w:rPr>
                <w:rFonts w:hint="eastAsia" w:ascii="仿宋_GB2312" w:hAnsi="仿宋" w:eastAsia="仿宋_GB2312" w:cs="Tahoma"/>
                <w:kern w:val="0"/>
                <w:szCs w:val="21"/>
                <w:lang w:val="en-US" w:eastAsia="zh-CN"/>
              </w:rPr>
              <w:t>2</w:t>
            </w:r>
            <w:r>
              <w:rPr>
                <w:rFonts w:ascii="仿宋_GB2312" w:hAnsi="仿宋" w:eastAsia="仿宋_GB2312" w:cs="Tahoma"/>
                <w:kern w:val="0"/>
                <w:szCs w:val="21"/>
              </w:rPr>
              <w:t>G 八通道 6Gb SAS RAID卡，支持RAID0、1、5、6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ascii="仿宋_GB2312" w:hAnsi="仿宋" w:eastAsia="仿宋_GB2312" w:cs="Tahoma"/>
                <w:kern w:val="0"/>
                <w:szCs w:val="21"/>
              </w:rPr>
              <w:t>光驱</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DVD-RW光驱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ascii="仿宋_GB2312" w:hAnsi="仿宋" w:eastAsia="仿宋_GB2312" w:cs="Tahoma"/>
                <w:kern w:val="0"/>
                <w:szCs w:val="21"/>
              </w:rPr>
              <w:t>管理</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支持IPMI2.0 和KVM Over IP高级管理功能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ascii="仿宋_GB2312" w:hAnsi="仿宋" w:eastAsia="仿宋_GB2312" w:cs="Tahoma"/>
                <w:kern w:val="0"/>
                <w:szCs w:val="21"/>
              </w:rPr>
              <w:t>电源</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冗余电源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ascii="仿宋_GB2312" w:hAnsi="仿宋" w:eastAsia="仿宋_GB2312" w:cs="Tahoma"/>
                <w:kern w:val="0"/>
                <w:szCs w:val="21"/>
              </w:rPr>
              <w:t>风扇</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4个系统风扇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支持的操作系统</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ascii="仿宋_GB2312" w:hAnsi="仿宋" w:eastAsia="仿宋_GB2312" w:cs="Tahoma"/>
                <w:kern w:val="0"/>
                <w:szCs w:val="21"/>
              </w:rPr>
              <w:t>Microsoft</w:t>
            </w:r>
            <w:r>
              <w:rPr>
                <w:rFonts w:hint="eastAsia" w:ascii="仿宋_GB2312" w:hAnsi="仿宋" w:eastAsia="仿宋_GB2312" w:cs="Tahoma"/>
                <w:kern w:val="0"/>
                <w:szCs w:val="21"/>
              </w:rPr>
              <w:t>®</w:t>
            </w:r>
            <w:r>
              <w:rPr>
                <w:rFonts w:ascii="仿宋_GB2312" w:hAnsi="仿宋" w:eastAsia="仿宋_GB2312" w:cs="Tahoma"/>
                <w:kern w:val="0"/>
                <w:szCs w:val="21"/>
              </w:rPr>
              <w:t xml:space="preserve"> Windows</w:t>
            </w:r>
            <w:r>
              <w:rPr>
                <w:rFonts w:hint="eastAsia" w:ascii="仿宋_GB2312" w:hAnsi="仿宋" w:eastAsia="仿宋_GB2312" w:cs="Tahoma"/>
                <w:kern w:val="0"/>
                <w:szCs w:val="21"/>
              </w:rPr>
              <w:t>®</w:t>
            </w:r>
            <w:r>
              <w:rPr>
                <w:rFonts w:ascii="仿宋_GB2312" w:hAnsi="仿宋" w:eastAsia="仿宋_GB2312" w:cs="Tahoma"/>
                <w:kern w:val="0"/>
                <w:szCs w:val="21"/>
              </w:rPr>
              <w:t>、Red Hat Enterprise Linux</w:t>
            </w:r>
            <w:r>
              <w:rPr>
                <w:rFonts w:hint="eastAsia" w:ascii="仿宋_GB2312" w:hAnsi="仿宋" w:eastAsia="仿宋_GB2312" w:cs="Tahoma"/>
                <w:kern w:val="0"/>
                <w:szCs w:val="21"/>
              </w:rPr>
              <w:t>®</w:t>
            </w:r>
            <w:r>
              <w:rPr>
                <w:rFonts w:ascii="仿宋_GB2312" w:hAnsi="仿宋" w:eastAsia="仿宋_GB2312" w:cs="Tahoma"/>
                <w:kern w:val="0"/>
                <w:szCs w:val="21"/>
              </w:rPr>
              <w:t>、SUSE Linux Enterprise、Oracle Solaris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其他配件</w:t>
            </w:r>
          </w:p>
        </w:tc>
        <w:tc>
          <w:tcPr>
            <w:tcW w:w="5501" w:type="dxa"/>
            <w:tcBorders>
              <w:top w:val="single" w:color="auto" w:sz="4" w:space="0"/>
              <w:left w:val="single" w:color="auto" w:sz="4" w:space="0"/>
              <w:bottom w:val="single" w:color="auto" w:sz="4" w:space="0"/>
              <w:right w:val="single" w:color="auto" w:sz="4" w:space="0"/>
            </w:tcBorders>
            <w:vAlign w:val="center"/>
          </w:tcPr>
          <w:p>
            <w:pPr>
              <w:rPr>
                <w:rFonts w:ascii="仿宋_GB2312" w:hAnsi="仿宋" w:eastAsia="仿宋_GB2312" w:cs="Tahoma"/>
                <w:kern w:val="0"/>
                <w:szCs w:val="21"/>
              </w:rPr>
            </w:pPr>
            <w:r>
              <w:rPr>
                <w:rFonts w:hint="eastAsia" w:ascii="仿宋_GB2312" w:hAnsi="仿宋" w:eastAsia="仿宋_GB2312" w:cs="Tahoma"/>
                <w:kern w:val="0"/>
                <w:szCs w:val="21"/>
              </w:rPr>
              <w:t>提供投标设备正常运行需使用的特别支架、导轨、接头、电缆、光纤跳线等附件。</w:t>
            </w:r>
          </w:p>
        </w:tc>
      </w:tr>
    </w:tbl>
    <w:p/>
    <w:p>
      <w:pPr>
        <w:rPr>
          <w:b/>
          <w:sz w:val="28"/>
          <w:szCs w:val="28"/>
        </w:rPr>
      </w:pPr>
      <w:r>
        <w:rPr>
          <w:rFonts w:hint="eastAsia"/>
          <w:b/>
          <w:sz w:val="28"/>
          <w:szCs w:val="28"/>
        </w:rPr>
        <w:t>二、网络系统技术参数</w:t>
      </w:r>
    </w:p>
    <w:tbl>
      <w:tblPr>
        <w:tblStyle w:val="15"/>
        <w:tblW w:w="7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spacing w:before="0" w:beforeAutospacing="0" w:after="0" w:afterAutospacing="0"/>
              <w:ind w:left="0" w:right="0"/>
              <w:rPr>
                <w:rFonts w:hint="default" w:ascii="Times New Roman" w:hAnsi="Times New Roman" w:cs="Times New Roman"/>
                <w:sz w:val="28"/>
                <w:szCs w:val="28"/>
              </w:rPr>
            </w:pPr>
            <w:r>
              <w:rPr>
                <w:rFonts w:hint="eastAsia" w:ascii="黑体" w:hAnsi="黑体" w:eastAsia="黑体" w:cs="Times New Roman"/>
                <w:sz w:val="28"/>
                <w:szCs w:val="28"/>
              </w:rPr>
              <w:t>千兆管理网络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9" w:hRule="atLeast"/>
          <w:jc w:val="center"/>
        </w:trPr>
        <w:tc>
          <w:tcPr>
            <w:tcW w:w="1809" w:type="dxa"/>
            <w:vAlign w:val="center"/>
          </w:tcPr>
          <w:p>
            <w:pPr>
              <w:snapToGrid w:val="0"/>
              <w:spacing w:before="0" w:beforeAutospacing="0" w:after="0" w:afterAutospacing="0"/>
              <w:ind w:left="0" w:right="0"/>
              <w:jc w:val="center"/>
              <w:rPr>
                <w:rFonts w:hint="default" w:ascii="宋体" w:hAnsi="宋体" w:cs="Times New Roman"/>
                <w:b/>
                <w:color w:val="000000"/>
                <w:sz w:val="28"/>
                <w:szCs w:val="28"/>
              </w:rPr>
            </w:pPr>
            <w:r>
              <w:rPr>
                <w:rFonts w:hint="eastAsia" w:ascii="宋体" w:hAnsi="宋体" w:cs="Times New Roman"/>
                <w:b/>
                <w:color w:val="000000"/>
                <w:sz w:val="28"/>
                <w:szCs w:val="28"/>
              </w:rPr>
              <w:t>技术指标</w:t>
            </w:r>
          </w:p>
        </w:tc>
        <w:tc>
          <w:tcPr>
            <w:tcW w:w="5501" w:type="dxa"/>
            <w:vAlign w:val="center"/>
          </w:tcPr>
          <w:p>
            <w:pPr>
              <w:snapToGrid w:val="0"/>
              <w:spacing w:before="0" w:beforeAutospacing="0" w:after="0" w:afterAutospacing="0"/>
              <w:ind w:left="0" w:right="0"/>
              <w:jc w:val="center"/>
              <w:rPr>
                <w:rFonts w:hint="default" w:ascii="宋体" w:hAnsi="宋体" w:cs="Times New Roman"/>
                <w:b/>
                <w:color w:val="000000"/>
                <w:sz w:val="28"/>
                <w:szCs w:val="28"/>
              </w:rPr>
            </w:pPr>
            <w:r>
              <w:rPr>
                <w:rFonts w:hint="eastAsia" w:ascii="宋体" w:hAnsi="宋体" w:cs="Times New Roman"/>
                <w:b/>
                <w:color w:val="000000"/>
                <w:sz w:val="28"/>
                <w:szCs w:val="28"/>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spacing w:before="0" w:beforeAutospacing="0" w:after="0" w:afterAutospacing="0"/>
              <w:ind w:left="0" w:right="0"/>
              <w:jc w:val="center"/>
              <w:rPr>
                <w:rFonts w:hint="default" w:ascii="仿宋_GB2312" w:hAnsi="仿宋" w:eastAsia="仿宋_GB2312" w:cs="Tahoma"/>
                <w:kern w:val="0"/>
                <w:sz w:val="20"/>
                <w:szCs w:val="21"/>
              </w:rPr>
            </w:pPr>
            <w:r>
              <w:rPr>
                <w:rFonts w:hint="eastAsia" w:ascii="仿宋_GB2312" w:hAnsi="仿宋" w:eastAsia="仿宋_GB2312" w:cs="Tahoma"/>
                <w:kern w:val="0"/>
                <w:sz w:val="20"/>
                <w:szCs w:val="21"/>
              </w:rPr>
              <w:t>总体要求</w:t>
            </w:r>
          </w:p>
        </w:tc>
        <w:tc>
          <w:tcPr>
            <w:tcW w:w="5501" w:type="dxa"/>
            <w:vAlign w:val="center"/>
          </w:tcPr>
          <w:p>
            <w:pPr>
              <w:spacing w:before="0" w:beforeAutospacing="0" w:after="0" w:afterAutospacing="0"/>
              <w:ind w:left="0" w:right="0"/>
              <w:rPr>
                <w:rFonts w:hint="default" w:ascii="仿宋_GB2312" w:hAnsi="仿宋" w:eastAsia="仿宋_GB2312" w:cs="Tahoma"/>
                <w:kern w:val="0"/>
                <w:sz w:val="20"/>
                <w:szCs w:val="21"/>
              </w:rPr>
            </w:pPr>
            <w:r>
              <w:rPr>
                <w:rFonts w:hint="eastAsia" w:ascii="仿宋_GB2312" w:hAnsi="仿宋" w:eastAsia="仿宋_GB2312" w:cs="Tahoma"/>
                <w:kern w:val="0"/>
                <w:sz w:val="20"/>
                <w:szCs w:val="21"/>
              </w:rPr>
              <w:t>一台千兆交换机，提供</w:t>
            </w:r>
            <w:r>
              <w:rPr>
                <w:rFonts w:hint="eastAsia" w:ascii="仿宋_GB2312" w:hAnsi="仿宋" w:eastAsia="仿宋_GB2312" w:cs="Tahoma"/>
                <w:kern w:val="0"/>
                <w:sz w:val="20"/>
                <w:szCs w:val="21"/>
                <w:lang w:val="en-US" w:eastAsia="zh-CN"/>
              </w:rPr>
              <w:t>24</w:t>
            </w:r>
            <w:r>
              <w:rPr>
                <w:rFonts w:hint="eastAsia" w:ascii="仿宋_GB2312" w:hAnsi="仿宋" w:eastAsia="仿宋_GB2312" w:cs="Tahoma"/>
                <w:kern w:val="0"/>
                <w:sz w:val="20"/>
                <w:szCs w:val="21"/>
              </w:rPr>
              <w:t>个千兆接口，配置相应的线缆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spacing w:before="0" w:beforeAutospacing="0" w:after="0" w:afterAutospacing="0"/>
              <w:ind w:left="0" w:right="0"/>
              <w:jc w:val="center"/>
              <w:rPr>
                <w:rFonts w:hint="default" w:ascii="仿宋_GB2312" w:hAnsi="仿宋" w:eastAsia="仿宋_GB2312" w:cs="Tahoma"/>
                <w:kern w:val="0"/>
                <w:sz w:val="20"/>
                <w:szCs w:val="21"/>
              </w:rPr>
            </w:pPr>
            <w:r>
              <w:rPr>
                <w:rFonts w:hint="eastAsia" w:ascii="仿宋_GB2312" w:hAnsi="仿宋" w:eastAsia="仿宋_GB2312" w:cs="Tahoma"/>
                <w:kern w:val="0"/>
                <w:sz w:val="20"/>
                <w:szCs w:val="21"/>
              </w:rPr>
              <w:t>性能要求</w:t>
            </w:r>
          </w:p>
        </w:tc>
        <w:tc>
          <w:tcPr>
            <w:tcW w:w="5501" w:type="dxa"/>
            <w:vAlign w:val="center"/>
          </w:tcPr>
          <w:p>
            <w:pPr>
              <w:spacing w:before="0" w:beforeAutospacing="0" w:after="0" w:afterAutospacing="0"/>
              <w:ind w:left="0" w:right="0"/>
              <w:rPr>
                <w:rFonts w:hint="default" w:ascii="仿宋_GB2312" w:hAnsi="仿宋" w:eastAsia="仿宋_GB2312" w:cs="Tahoma"/>
                <w:kern w:val="0"/>
                <w:sz w:val="20"/>
                <w:szCs w:val="21"/>
              </w:rPr>
            </w:pPr>
            <w:r>
              <w:rPr>
                <w:rFonts w:hint="eastAsia" w:ascii="仿宋_GB2312" w:hAnsi="仿宋" w:eastAsia="仿宋_GB2312" w:cs="Tahoma"/>
                <w:kern w:val="0"/>
                <w:sz w:val="20"/>
                <w:szCs w:val="21"/>
              </w:rPr>
              <w:t>提供</w:t>
            </w:r>
            <w:r>
              <w:rPr>
                <w:rFonts w:hint="eastAsia" w:ascii="仿宋_GB2312" w:hAnsi="仿宋" w:eastAsia="仿宋_GB2312" w:cs="Tahoma"/>
                <w:kern w:val="0"/>
                <w:sz w:val="20"/>
                <w:szCs w:val="21"/>
                <w:lang w:val="en-US" w:eastAsia="zh-CN"/>
              </w:rPr>
              <w:t>24</w:t>
            </w:r>
            <w:r>
              <w:rPr>
                <w:rFonts w:hint="eastAsia" w:ascii="仿宋_GB2312" w:hAnsi="仿宋" w:eastAsia="仿宋_GB2312" w:cs="Tahoma"/>
                <w:kern w:val="0"/>
                <w:sz w:val="20"/>
                <w:szCs w:val="21"/>
              </w:rPr>
              <w:t>个千兆端口，</w:t>
            </w:r>
            <w:r>
              <w:rPr>
                <w:rFonts w:hint="eastAsia" w:ascii="仿宋_GB2312" w:hAnsi="仿宋" w:eastAsia="仿宋_GB2312" w:cs="Tahoma"/>
                <w:sz w:val="20"/>
                <w:szCs w:val="21"/>
                <w:lang w:val="en-US" w:eastAsia="zh-CN" w:bidi="ar-SA"/>
              </w:rPr>
              <w:t>交换容量为256Gbps(全双工)</w:t>
            </w:r>
            <w:r>
              <w:rPr>
                <w:rFonts w:hint="eastAsia" w:ascii="仿宋_GB2312" w:hAnsi="仿宋" w:eastAsia="仿宋_GB2312" w:cs="Tahoma"/>
                <w:kern w:val="0"/>
                <w:sz w:val="20"/>
                <w:szCs w:val="21"/>
              </w:rPr>
              <w:t>，满足管理网络快速传输需求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spacing w:before="0" w:beforeAutospacing="0" w:after="0" w:afterAutospacing="0"/>
              <w:ind w:left="0" w:right="0"/>
              <w:jc w:val="center"/>
              <w:rPr>
                <w:rFonts w:hint="default" w:ascii="仿宋_GB2312" w:hAnsi="仿宋" w:eastAsia="仿宋_GB2312" w:cs="Tahoma"/>
                <w:kern w:val="0"/>
                <w:sz w:val="20"/>
                <w:szCs w:val="21"/>
              </w:rPr>
            </w:pPr>
            <w:r>
              <w:rPr>
                <w:rFonts w:hint="eastAsia" w:ascii="仿宋_GB2312" w:hAnsi="仿宋" w:eastAsia="仿宋_GB2312" w:cs="Tahoma"/>
                <w:kern w:val="0"/>
                <w:sz w:val="20"/>
                <w:szCs w:val="21"/>
              </w:rPr>
              <w:t>高度</w:t>
            </w:r>
          </w:p>
        </w:tc>
        <w:tc>
          <w:tcPr>
            <w:tcW w:w="5501" w:type="dxa"/>
            <w:vAlign w:val="center"/>
          </w:tcPr>
          <w:p>
            <w:pPr>
              <w:spacing w:before="0" w:beforeAutospacing="0" w:after="0" w:afterAutospacing="0"/>
              <w:ind w:left="0" w:right="0"/>
              <w:rPr>
                <w:rFonts w:hint="default" w:ascii="仿宋_GB2312" w:hAnsi="仿宋" w:eastAsia="仿宋_GB2312" w:cs="Tahoma"/>
                <w:kern w:val="0"/>
                <w:sz w:val="20"/>
                <w:szCs w:val="21"/>
              </w:rPr>
            </w:pPr>
            <w:r>
              <w:rPr>
                <w:rFonts w:hint="eastAsia" w:ascii="仿宋_GB2312" w:hAnsi="仿宋" w:eastAsia="仿宋_GB2312" w:cs="Tahoma"/>
                <w:kern w:val="0"/>
                <w:sz w:val="20"/>
                <w:szCs w:val="21"/>
              </w:rPr>
              <w:t>1U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1" w:hRule="atLeast"/>
          <w:jc w:val="center"/>
        </w:trPr>
        <w:tc>
          <w:tcPr>
            <w:tcW w:w="1809" w:type="dxa"/>
            <w:vAlign w:val="center"/>
          </w:tcPr>
          <w:p>
            <w:pPr>
              <w:spacing w:before="0" w:beforeAutospacing="0" w:after="0" w:afterAutospacing="0"/>
              <w:ind w:left="0" w:right="0"/>
              <w:jc w:val="center"/>
              <w:rPr>
                <w:rFonts w:hint="default" w:ascii="仿宋_GB2312" w:hAnsi="仿宋" w:eastAsia="仿宋_GB2312" w:cs="Tahoma"/>
                <w:kern w:val="0"/>
                <w:sz w:val="20"/>
                <w:szCs w:val="21"/>
              </w:rPr>
            </w:pPr>
            <w:r>
              <w:rPr>
                <w:rFonts w:hint="eastAsia" w:ascii="仿宋_GB2312" w:hAnsi="仿宋" w:eastAsia="仿宋_GB2312" w:cs="Tahoma"/>
                <w:kern w:val="0"/>
                <w:sz w:val="20"/>
                <w:szCs w:val="21"/>
              </w:rPr>
              <w:t>端口数</w:t>
            </w:r>
          </w:p>
        </w:tc>
        <w:tc>
          <w:tcPr>
            <w:tcW w:w="5501" w:type="dxa"/>
            <w:vAlign w:val="center"/>
          </w:tcPr>
          <w:p>
            <w:pPr>
              <w:spacing w:before="0" w:beforeAutospacing="0" w:after="0" w:afterAutospacing="0"/>
              <w:ind w:left="0" w:right="0"/>
              <w:rPr>
                <w:rFonts w:hint="default" w:ascii="仿宋_GB2312" w:hAnsi="仿宋" w:eastAsia="仿宋_GB2312" w:cs="Tahoma"/>
                <w:kern w:val="0"/>
                <w:sz w:val="20"/>
                <w:szCs w:val="21"/>
              </w:rPr>
            </w:pPr>
            <w:r>
              <w:rPr>
                <w:rFonts w:hint="eastAsia" w:ascii="仿宋_GB2312" w:hAnsi="仿宋" w:eastAsia="仿宋_GB2312" w:cs="Tahoma"/>
                <w:kern w:val="0"/>
                <w:sz w:val="20"/>
                <w:szCs w:val="21"/>
                <w:lang w:val="en-US" w:eastAsia="zh-CN"/>
              </w:rPr>
              <w:t>24</w:t>
            </w:r>
            <w:r>
              <w:rPr>
                <w:rFonts w:hint="eastAsia" w:ascii="仿宋_GB2312" w:hAnsi="仿宋" w:eastAsia="仿宋_GB2312" w:cs="Tahoma"/>
                <w:kern w:val="0"/>
                <w:sz w:val="20"/>
                <w:szCs w:val="21"/>
              </w:rPr>
              <w:t>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jc w:val="center"/>
        </w:trPr>
        <w:tc>
          <w:tcPr>
            <w:tcW w:w="1809" w:type="dxa"/>
            <w:vAlign w:val="center"/>
          </w:tcPr>
          <w:p>
            <w:pPr>
              <w:spacing w:before="0" w:beforeAutospacing="0" w:after="0" w:afterAutospacing="0"/>
              <w:ind w:left="0" w:right="0"/>
              <w:jc w:val="center"/>
              <w:rPr>
                <w:rFonts w:hint="default" w:ascii="仿宋_GB2312" w:hAnsi="仿宋" w:eastAsia="仿宋_GB2312" w:cs="Tahoma"/>
                <w:kern w:val="0"/>
                <w:sz w:val="20"/>
                <w:szCs w:val="21"/>
              </w:rPr>
            </w:pPr>
            <w:r>
              <w:rPr>
                <w:rFonts w:hint="eastAsia" w:ascii="仿宋_GB2312" w:hAnsi="仿宋" w:eastAsia="仿宋_GB2312" w:cs="Tahoma"/>
                <w:kern w:val="0"/>
                <w:sz w:val="20"/>
                <w:szCs w:val="21"/>
              </w:rPr>
              <w:t>线缆</w:t>
            </w:r>
          </w:p>
        </w:tc>
        <w:tc>
          <w:tcPr>
            <w:tcW w:w="5501" w:type="dxa"/>
            <w:vAlign w:val="center"/>
          </w:tcPr>
          <w:p>
            <w:pPr>
              <w:spacing w:before="0" w:beforeAutospacing="0" w:after="0" w:afterAutospacing="0"/>
              <w:ind w:left="0" w:right="0"/>
              <w:rPr>
                <w:rFonts w:hint="default" w:ascii="仿宋_GB2312" w:hAnsi="仿宋" w:eastAsia="仿宋_GB2312" w:cs="Tahoma"/>
                <w:kern w:val="0"/>
                <w:sz w:val="20"/>
                <w:szCs w:val="21"/>
              </w:rPr>
            </w:pPr>
            <w:r>
              <w:rPr>
                <w:rFonts w:hint="eastAsia" w:ascii="仿宋_GB2312" w:hAnsi="仿宋" w:eastAsia="仿宋_GB2312" w:cs="Tahoma"/>
                <w:kern w:val="0"/>
                <w:sz w:val="20"/>
                <w:szCs w:val="21"/>
              </w:rPr>
              <w:t>提供投标设备正常运行需用到的所有线缆</w:t>
            </w:r>
          </w:p>
        </w:tc>
      </w:tr>
    </w:tbl>
    <w:p>
      <w:pPr>
        <w:rPr>
          <w:rFonts w:ascii="宋体" w:hAnsi="宋体"/>
          <w:b/>
          <w:sz w:val="30"/>
          <w:szCs w:val="30"/>
        </w:rPr>
      </w:pPr>
      <w:r>
        <w:rPr>
          <w:rFonts w:hint="eastAsia"/>
          <w:b/>
          <w:sz w:val="28"/>
          <w:szCs w:val="28"/>
        </w:rPr>
        <w:t>三、软件</w:t>
      </w:r>
    </w:p>
    <w:p>
      <w:pPr>
        <w:pStyle w:val="17"/>
      </w:pPr>
      <w:r>
        <w:rPr>
          <w:rFonts w:hint="eastAsia"/>
        </w:rPr>
        <w:t>以下软件为确保计算集群快速安装、便捷管理所必备的软件系统。</w:t>
      </w:r>
    </w:p>
    <w:tbl>
      <w:tblPr>
        <w:tblStyle w:val="15"/>
        <w:tblW w:w="7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55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tcBorders>
              <w:top w:val="single" w:color="auto" w:sz="4" w:space="0"/>
              <w:left w:val="single" w:color="auto" w:sz="4" w:space="0"/>
              <w:bottom w:val="single" w:color="auto" w:sz="4" w:space="0"/>
              <w:right w:val="single" w:color="auto" w:sz="4" w:space="0"/>
            </w:tcBorders>
            <w:vAlign w:val="center"/>
          </w:tcPr>
          <w:p>
            <w:pPr>
              <w:rPr>
                <w:rFonts w:cs="Calibri"/>
                <w:b/>
                <w:sz w:val="28"/>
                <w:szCs w:val="28"/>
              </w:rPr>
            </w:pPr>
            <w:r>
              <w:rPr>
                <w:rFonts w:hint="eastAsia" w:cs="Calibri"/>
                <w:b/>
                <w:sz w:val="28"/>
                <w:szCs w:val="28"/>
              </w:rPr>
              <w:t>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0" w:hRule="atLeast"/>
          <w:jc w:val="center"/>
        </w:trPr>
        <w:tc>
          <w:tcPr>
            <w:tcW w:w="1809" w:type="dxa"/>
            <w:vAlign w:val="center"/>
          </w:tcPr>
          <w:p>
            <w:pPr>
              <w:jc w:val="center"/>
              <w:rPr>
                <w:rFonts w:ascii="仿宋_GB2312" w:hAnsi="仿宋" w:eastAsia="仿宋_GB2312" w:cs="Tahoma"/>
                <w:kern w:val="0"/>
                <w:szCs w:val="21"/>
              </w:rPr>
            </w:pPr>
            <w:r>
              <w:rPr>
                <w:rFonts w:hint="eastAsia" w:ascii="仿宋_GB2312" w:hAnsi="仿宋" w:eastAsia="仿宋_GB2312" w:cs="Tahoma"/>
                <w:kern w:val="0"/>
                <w:szCs w:val="21"/>
              </w:rPr>
              <w:t>基本要求</w:t>
            </w:r>
          </w:p>
        </w:tc>
        <w:tc>
          <w:tcPr>
            <w:tcW w:w="5501" w:type="dxa"/>
            <w:vAlign w:val="center"/>
          </w:tcPr>
          <w:p>
            <w:pPr>
              <w:widowControl/>
              <w:shd w:val="clear" w:color="auto" w:fill="FFFFFF"/>
              <w:tabs>
                <w:tab w:val="left" w:pos="720"/>
              </w:tabs>
              <w:jc w:val="left"/>
              <w:rPr>
                <w:rFonts w:ascii="仿宋_GB2312" w:hAnsi="仿宋" w:eastAsia="仿宋_GB2312" w:cs="Tahoma"/>
                <w:kern w:val="0"/>
                <w:szCs w:val="21"/>
              </w:rPr>
            </w:pPr>
            <w:r>
              <w:rPr>
                <w:rFonts w:hint="eastAsia" w:ascii="仿宋_GB2312" w:hAnsi="仿宋" w:eastAsia="仿宋_GB2312" w:cs="Tahoma"/>
                <w:kern w:val="0"/>
                <w:szCs w:val="21"/>
              </w:rPr>
              <w:t>提供与集群软件兼容的正版操作系统或使用开源操作系统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5" w:hRule="atLeast"/>
          <w:jc w:val="center"/>
        </w:trPr>
        <w:tc>
          <w:tcPr>
            <w:tcW w:w="7310" w:type="dxa"/>
            <w:gridSpan w:val="2"/>
            <w:vAlign w:val="center"/>
          </w:tcPr>
          <w:p>
            <w:pPr>
              <w:rPr>
                <w:rFonts w:cs="Calibri"/>
                <w:b/>
                <w:sz w:val="28"/>
                <w:szCs w:val="28"/>
              </w:rPr>
            </w:pPr>
            <w:r>
              <w:rPr>
                <w:rFonts w:hint="eastAsia" w:cs="Calibri"/>
                <w:b/>
                <w:sz w:val="28"/>
                <w:szCs w:val="28"/>
              </w:rPr>
              <w:t>大数据软件系统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20" w:hRule="atLeast"/>
          <w:jc w:val="center"/>
        </w:trPr>
        <w:tc>
          <w:tcPr>
            <w:tcW w:w="1809" w:type="dxa"/>
            <w:vAlign w:val="center"/>
          </w:tcPr>
          <w:p>
            <w:pPr>
              <w:jc w:val="center"/>
              <w:rPr>
                <w:rFonts w:cs="Calibri"/>
                <w:b/>
                <w:sz w:val="28"/>
                <w:szCs w:val="28"/>
              </w:rPr>
            </w:pPr>
            <w:r>
              <w:rPr>
                <w:rFonts w:hint="eastAsia" w:ascii="仿宋_GB2312" w:hAnsi="仿宋" w:eastAsia="仿宋_GB2312" w:cs="Tahoma"/>
                <w:kern w:val="0"/>
                <w:szCs w:val="21"/>
              </w:rPr>
              <w:t>基本要求</w:t>
            </w:r>
          </w:p>
        </w:tc>
        <w:tc>
          <w:tcPr>
            <w:tcW w:w="5501" w:type="dxa"/>
            <w:vAlign w:val="center"/>
          </w:tcPr>
          <w:p>
            <w:pPr>
              <w:rPr>
                <w:rFonts w:cs="Calibri"/>
                <w:b/>
                <w:sz w:val="28"/>
                <w:szCs w:val="28"/>
              </w:rPr>
            </w:pPr>
            <w:r>
              <w:rPr>
                <w:rFonts w:hint="eastAsia" w:ascii="仿宋_GB2312" w:hAnsi="仿宋" w:eastAsia="仿宋_GB2312" w:cs="Tahoma"/>
                <w:kern w:val="0"/>
                <w:szCs w:val="21"/>
              </w:rPr>
              <w:t>部署</w:t>
            </w:r>
            <w:r>
              <w:rPr>
                <w:rFonts w:hint="eastAsia" w:ascii="仿宋_GB2312" w:hAnsi="仿宋" w:eastAsia="仿宋_GB2312" w:cs="Tahoma"/>
                <w:kern w:val="0"/>
                <w:szCs w:val="21"/>
                <w:lang w:eastAsia="zh-CN"/>
              </w:rPr>
              <w:t>开源的</w:t>
            </w:r>
            <w:r>
              <w:rPr>
                <w:rFonts w:hint="eastAsia" w:ascii="仿宋_GB2312" w:hAnsi="仿宋" w:eastAsia="仿宋_GB2312" w:cs="Tahoma"/>
                <w:kern w:val="0"/>
                <w:szCs w:val="21"/>
              </w:rPr>
              <w:t>分布式文件系统（HDFS）、分布式协同工作系统（ZooKeeper）、分布式数据库（HBase）、分布式计算框架（Map/Reduce）、分布式数据仓库（Hive）、数据转移工具（Sqoop）、网络监视工具（Nagios）、分布式数据处理（Pig）、分布式监控工具（ganglia）等套件。</w:t>
            </w:r>
          </w:p>
        </w:tc>
      </w:tr>
    </w:tbl>
    <w:p>
      <w:pPr>
        <w:pStyle w:val="2"/>
        <w:numPr>
          <w:ilvl w:val="0"/>
          <w:numId w:val="0"/>
        </w:numPr>
        <w:ind w:leftChars="0"/>
      </w:pPr>
      <w:bookmarkStart w:id="10" w:name="_Toc29480"/>
      <w:r>
        <w:rPr>
          <w:rFonts w:hint="eastAsia"/>
          <w:lang w:val="en-US" w:eastAsia="zh-CN"/>
        </w:rPr>
        <w:t xml:space="preserve">4. </w:t>
      </w:r>
      <w:r>
        <w:rPr>
          <w:rFonts w:hint="eastAsia"/>
        </w:rPr>
        <w:t>服务部分</w:t>
      </w:r>
      <w:bookmarkEnd w:id="10"/>
    </w:p>
    <w:p>
      <w:pPr>
        <w:pStyle w:val="3"/>
        <w:tabs>
          <w:tab w:val="left" w:pos="576"/>
        </w:tabs>
        <w:spacing w:after="312"/>
        <w:ind w:left="576" w:hanging="576"/>
        <w:rPr>
          <w:rFonts w:ascii="微软雅黑" w:hAnsi="微软雅黑" w:eastAsia="微软雅黑"/>
        </w:rPr>
      </w:pPr>
      <w:bookmarkStart w:id="11" w:name="_Toc12253"/>
      <w:r>
        <w:rPr>
          <w:rFonts w:hint="eastAsia" w:ascii="微软雅黑" w:hAnsi="微软雅黑" w:eastAsia="微软雅黑"/>
        </w:rPr>
        <w:t>4.1 说明</w:t>
      </w:r>
      <w:bookmarkEnd w:id="11"/>
    </w:p>
    <w:p>
      <w:pPr>
        <w:numPr>
          <w:ilvl w:val="0"/>
          <w:numId w:val="4"/>
        </w:numPr>
        <w:spacing w:line="360" w:lineRule="auto"/>
        <w:rPr>
          <w:rFonts w:ascii="宋体" w:hAnsi="宋体"/>
          <w:szCs w:val="21"/>
        </w:rPr>
      </w:pPr>
      <w:r>
        <w:rPr>
          <w:rFonts w:hint="eastAsia" w:ascii="宋体" w:hAnsi="宋体"/>
          <w:szCs w:val="21"/>
        </w:rPr>
        <w:t>投标方提供的设备可以优于上述参数，可以提高一个级别，但必须严格按上述技术参数序号提供技术偏离表。</w:t>
      </w:r>
    </w:p>
    <w:p>
      <w:pPr>
        <w:numPr>
          <w:ilvl w:val="0"/>
          <w:numId w:val="4"/>
        </w:numPr>
        <w:spacing w:line="360" w:lineRule="auto"/>
        <w:rPr>
          <w:rFonts w:ascii="宋体" w:hAnsi="宋体"/>
          <w:szCs w:val="21"/>
        </w:rPr>
      </w:pPr>
      <w:r>
        <w:rPr>
          <w:rFonts w:hint="eastAsia" w:ascii="宋体" w:hAnsi="宋体"/>
          <w:szCs w:val="21"/>
        </w:rPr>
        <w:t>各投标人在应标时，如有实施</w:t>
      </w:r>
      <w:r>
        <w:rPr>
          <w:rFonts w:hint="eastAsia" w:ascii="宋体" w:hAnsi="宋体"/>
          <w:szCs w:val="21"/>
          <w:lang w:eastAsia="zh-CN"/>
        </w:rPr>
        <w:t>大数据</w:t>
      </w:r>
      <w:r>
        <w:rPr>
          <w:rFonts w:hint="eastAsia" w:ascii="宋体" w:hAnsi="宋体"/>
          <w:szCs w:val="21"/>
        </w:rPr>
        <w:t>平台项目必须的任何软硬件模块未在以上方案或设备清单中明确提出的，请在投标书中注明并提供报价，如未提出，视为投标人的报价已包含所有必备的项目。此外还须提供管理节点、计算节点（各不同类型的CPU、内存、硬盘、SAS卡）、</w:t>
      </w:r>
      <w:r>
        <w:rPr>
          <w:rFonts w:hint="eastAsia" w:ascii="宋体" w:hAnsi="宋体"/>
          <w:szCs w:val="21"/>
          <w:lang w:eastAsia="zh-CN"/>
        </w:rPr>
        <w:t>千</w:t>
      </w:r>
      <w:r>
        <w:rPr>
          <w:rFonts w:hint="eastAsia" w:ascii="宋体" w:hAnsi="宋体"/>
          <w:szCs w:val="21"/>
        </w:rPr>
        <w:t>兆网络的分项报价。</w:t>
      </w:r>
    </w:p>
    <w:p>
      <w:pPr>
        <w:numPr>
          <w:ilvl w:val="0"/>
          <w:numId w:val="4"/>
        </w:numPr>
        <w:spacing w:line="360" w:lineRule="auto"/>
        <w:rPr>
          <w:rFonts w:ascii="宋体" w:hAnsi="宋体"/>
          <w:szCs w:val="21"/>
        </w:rPr>
      </w:pPr>
      <w:r>
        <w:rPr>
          <w:rFonts w:hint="eastAsia" w:ascii="宋体" w:hAnsi="宋体"/>
          <w:szCs w:val="21"/>
        </w:rPr>
        <w:t>提供以上所有设备的各种连接线，光纤长度和数量以实际需要为准。</w:t>
      </w:r>
    </w:p>
    <w:p>
      <w:pPr>
        <w:numPr>
          <w:ilvl w:val="0"/>
          <w:numId w:val="4"/>
        </w:numPr>
        <w:spacing w:line="360" w:lineRule="auto"/>
        <w:rPr>
          <w:rFonts w:ascii="宋体" w:hAnsi="宋体"/>
          <w:szCs w:val="21"/>
        </w:rPr>
      </w:pPr>
      <w:r>
        <w:rPr>
          <w:rFonts w:hint="eastAsia" w:ascii="宋体" w:hAnsi="宋体"/>
          <w:szCs w:val="21"/>
        </w:rPr>
        <w:t>请各投标人结合所投产品，针对本大数据平台方案提出合理化建议。</w:t>
      </w:r>
    </w:p>
    <w:p>
      <w:pPr>
        <w:numPr>
          <w:ilvl w:val="0"/>
          <w:numId w:val="4"/>
        </w:numPr>
        <w:spacing w:line="360" w:lineRule="auto"/>
        <w:rPr>
          <w:rFonts w:ascii="宋体" w:hAnsi="宋体"/>
          <w:szCs w:val="21"/>
        </w:rPr>
      </w:pPr>
      <w:r>
        <w:rPr>
          <w:rFonts w:hint="eastAsia" w:ascii="宋体" w:hAnsi="宋体"/>
          <w:szCs w:val="21"/>
        </w:rPr>
        <w:t>采购的设备中所需配件若要</w:t>
      </w:r>
      <w:r>
        <w:rPr>
          <w:rFonts w:ascii="宋体" w:hAnsi="宋体"/>
          <w:szCs w:val="21"/>
        </w:rPr>
        <w:t>license</w:t>
      </w:r>
      <w:r>
        <w:rPr>
          <w:rFonts w:hint="eastAsia" w:ascii="宋体" w:hAnsi="宋体"/>
          <w:szCs w:val="21"/>
        </w:rPr>
        <w:t>授权的，应予无限制级授权。</w:t>
      </w:r>
    </w:p>
    <w:p>
      <w:pPr>
        <w:numPr>
          <w:ilvl w:val="0"/>
          <w:numId w:val="4"/>
        </w:numPr>
        <w:spacing w:line="360" w:lineRule="auto"/>
        <w:rPr>
          <w:rFonts w:ascii="宋体" w:hAnsi="宋体"/>
          <w:szCs w:val="21"/>
        </w:rPr>
      </w:pPr>
      <w:r>
        <w:rPr>
          <w:rFonts w:hint="eastAsia" w:ascii="宋体" w:hAnsi="宋体"/>
          <w:szCs w:val="21"/>
        </w:rPr>
        <w:t>投标方案中提供本公司实施的相关案例及所投产品的案例。</w:t>
      </w:r>
    </w:p>
    <w:p>
      <w:pPr>
        <w:numPr>
          <w:ilvl w:val="0"/>
          <w:numId w:val="4"/>
        </w:numPr>
        <w:spacing w:line="360" w:lineRule="auto"/>
        <w:rPr>
          <w:rFonts w:ascii="宋体" w:hAnsi="宋体"/>
          <w:szCs w:val="21"/>
        </w:rPr>
      </w:pPr>
      <w:r>
        <w:rPr>
          <w:rFonts w:hint="eastAsia" w:ascii="宋体" w:hAnsi="宋体"/>
          <w:szCs w:val="21"/>
        </w:rPr>
        <w:t>须提供本公司有关大数据平台维护技术工程师（包括软硬件及网络）的相关证明材料。</w:t>
      </w:r>
    </w:p>
    <w:p>
      <w:pPr>
        <w:numPr>
          <w:ilvl w:val="0"/>
          <w:numId w:val="4"/>
        </w:numPr>
        <w:spacing w:line="360" w:lineRule="auto"/>
        <w:rPr>
          <w:rFonts w:ascii="宋体" w:hAnsi="宋体"/>
          <w:szCs w:val="21"/>
        </w:rPr>
      </w:pPr>
      <w:r>
        <w:rPr>
          <w:rFonts w:hint="eastAsia" w:ascii="宋体" w:hAnsi="宋体"/>
          <w:szCs w:val="21"/>
        </w:rPr>
        <w:t>投标配置必须与供货包装箱上配置保持一致，不得改配。</w:t>
      </w:r>
    </w:p>
    <w:p>
      <w:pPr>
        <w:pStyle w:val="3"/>
        <w:tabs>
          <w:tab w:val="left" w:pos="576"/>
        </w:tabs>
        <w:spacing w:after="312"/>
        <w:ind w:left="576" w:hanging="576"/>
        <w:rPr>
          <w:rFonts w:ascii="微软雅黑" w:hAnsi="微软雅黑" w:eastAsia="微软雅黑"/>
        </w:rPr>
      </w:pPr>
      <w:bookmarkStart w:id="12" w:name="_Toc31220"/>
      <w:r>
        <w:rPr>
          <w:rFonts w:hint="eastAsia" w:ascii="微软雅黑" w:hAnsi="微软雅黑" w:eastAsia="微软雅黑"/>
        </w:rPr>
        <w:t>4.2 服务承诺</w:t>
      </w:r>
      <w:bookmarkEnd w:id="12"/>
    </w:p>
    <w:p>
      <w:pPr>
        <w:numPr>
          <w:ilvl w:val="0"/>
          <w:numId w:val="5"/>
        </w:numPr>
        <w:spacing w:line="360" w:lineRule="auto"/>
        <w:rPr>
          <w:rFonts w:ascii="宋体" w:hAnsi="宋体"/>
          <w:szCs w:val="21"/>
        </w:rPr>
      </w:pPr>
      <w:r>
        <w:rPr>
          <w:rFonts w:hint="eastAsia" w:ascii="宋体" w:hAnsi="宋体"/>
          <w:szCs w:val="21"/>
        </w:rPr>
        <w:t>硬件设备（包括硬盘）提供5年免费人工、部件，7×24小时响应，4小时带备件上门并完成相关软硬件安装服务。</w:t>
      </w:r>
    </w:p>
    <w:p>
      <w:pPr>
        <w:numPr>
          <w:ilvl w:val="0"/>
          <w:numId w:val="5"/>
        </w:numPr>
        <w:spacing w:line="360" w:lineRule="auto"/>
        <w:rPr>
          <w:rFonts w:ascii="宋体" w:hAnsi="宋体"/>
          <w:szCs w:val="21"/>
        </w:rPr>
      </w:pPr>
      <w:r>
        <w:rPr>
          <w:rFonts w:hint="eastAsia" w:ascii="宋体" w:hAnsi="宋体"/>
          <w:szCs w:val="21"/>
        </w:rPr>
        <w:t>软件系统提供5年免费升级，软件系统故障提供5年免人工，7×24小时响应服务（如有必要需上门服务）。</w:t>
      </w:r>
    </w:p>
    <w:p>
      <w:pPr>
        <w:numPr>
          <w:ilvl w:val="0"/>
          <w:numId w:val="5"/>
        </w:numPr>
        <w:spacing w:line="360" w:lineRule="auto"/>
        <w:rPr>
          <w:rFonts w:ascii="宋体" w:hAnsi="宋体"/>
          <w:szCs w:val="21"/>
        </w:rPr>
      </w:pPr>
      <w:r>
        <w:rPr>
          <w:rFonts w:hint="eastAsia" w:ascii="宋体" w:hAnsi="宋体"/>
          <w:szCs w:val="21"/>
        </w:rPr>
        <w:t>需确保大数据平台的安全性和私密性，做好与之相关的一系列安全防护措施。</w:t>
      </w:r>
    </w:p>
    <w:p>
      <w:pPr>
        <w:numPr>
          <w:ilvl w:val="0"/>
          <w:numId w:val="5"/>
        </w:numPr>
        <w:spacing w:line="360" w:lineRule="auto"/>
        <w:rPr>
          <w:rFonts w:ascii="宋体" w:hAnsi="宋体"/>
          <w:szCs w:val="21"/>
        </w:rPr>
      </w:pPr>
      <w:r>
        <w:rPr>
          <w:rFonts w:hint="eastAsia" w:ascii="宋体" w:hAnsi="宋体"/>
          <w:szCs w:val="21"/>
        </w:rPr>
        <w:t>提供质保期后的现场服务报价。</w:t>
      </w:r>
    </w:p>
    <w:p>
      <w:pPr>
        <w:numPr>
          <w:ilvl w:val="0"/>
          <w:numId w:val="5"/>
        </w:numPr>
        <w:spacing w:line="360" w:lineRule="auto"/>
        <w:rPr>
          <w:rFonts w:ascii="宋体" w:hAnsi="宋体"/>
          <w:szCs w:val="21"/>
        </w:rPr>
      </w:pPr>
      <w:r>
        <w:rPr>
          <w:rFonts w:hint="eastAsia" w:ascii="宋体" w:hAnsi="宋体"/>
          <w:szCs w:val="21"/>
        </w:rPr>
        <w:t>提供原厂针对本项目的授权书。</w:t>
      </w:r>
    </w:p>
    <w:p>
      <w:pPr>
        <w:numPr>
          <w:ilvl w:val="0"/>
          <w:numId w:val="5"/>
        </w:numPr>
        <w:spacing w:line="360" w:lineRule="auto"/>
        <w:rPr>
          <w:rFonts w:ascii="宋体" w:hAnsi="宋体"/>
          <w:szCs w:val="21"/>
        </w:rPr>
      </w:pPr>
      <w:r>
        <w:rPr>
          <w:rFonts w:hint="eastAsia" w:ascii="宋体" w:hAnsi="宋体"/>
          <w:szCs w:val="21"/>
        </w:rPr>
        <w:t>中标人必须负责所采购设备的运输，并负责进场卸货、安装、调试、检测，合格交付使用，并提供标书要求年限的免费保修。</w:t>
      </w:r>
    </w:p>
    <w:p>
      <w:pPr>
        <w:numPr>
          <w:ilvl w:val="0"/>
          <w:numId w:val="5"/>
        </w:numPr>
        <w:spacing w:line="360" w:lineRule="auto"/>
        <w:rPr>
          <w:rFonts w:hint="eastAsia" w:ascii="宋体" w:hAnsi="宋体"/>
          <w:szCs w:val="21"/>
        </w:rPr>
      </w:pPr>
      <w:r>
        <w:rPr>
          <w:rFonts w:hint="eastAsia" w:ascii="宋体" w:hAnsi="宋体"/>
          <w:szCs w:val="21"/>
        </w:rPr>
        <w:t>合同签定后40天内完成本系统的建设，交付使用，每延迟一天从项目总经费中扣款一万。</w:t>
      </w:r>
    </w:p>
    <w:sectPr>
      <w:footerReference r:id="rId4" w:type="default"/>
      <w:pgSz w:w="11906" w:h="16838"/>
      <w:pgMar w:top="1440" w:right="1800" w:bottom="1440"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仿宋_GBK">
    <w:altName w:val="方正姚体"/>
    <w:panose1 w:val="00000000000000000000"/>
    <w:charset w:val="86"/>
    <w:family w:val="auto"/>
    <w:pitch w:val="default"/>
    <w:sig w:usb0="00000001" w:usb1="080E0000" w:usb2="00000010" w:usb3="00000000" w:csb0="00040000" w:csb1="00000000"/>
  </w:font>
  <w:font w:name="Cambria">
    <w:panose1 w:val="02040503050406030204"/>
    <w:charset w:val="00"/>
    <w:family w:val="auto"/>
    <w:pitch w:val="default"/>
    <w:sig w:usb0="E00002FF" w:usb1="400004FF" w:usb2="00000000" w:usb3="00000000" w:csb0="2000019F" w:csb1="00000000"/>
  </w:font>
  <w:font w:name="楷体">
    <w:panose1 w:val="02010609060101010101"/>
    <w:charset w:val="86"/>
    <w:family w:val="auto"/>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方正姚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7"/>
      <w:jc w:val="center"/>
    </w:pPr>
    <w:r>
      <w:fldChar w:fldCharType="begin"/>
    </w:r>
    <w:r>
      <w:instrText xml:space="preserve">PAGE   \* MERGEFORMAT</w:instrText>
    </w:r>
    <w:r>
      <w:fldChar w:fldCharType="separate"/>
    </w:r>
    <w:r>
      <w:rPr>
        <w:lang w:val="zh-CN"/>
      </w:rPr>
      <w:t>11</w:t>
    </w:r>
    <w:r>
      <w:fldChar w:fldCharType="end"/>
    </w:r>
  </w:p>
  <w:p>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1000335">
    <w:nsid w:val="5846458F"/>
    <w:multiLevelType w:val="multilevel"/>
    <w:tmpl w:val="5846458F"/>
    <w:lvl w:ilvl="0" w:tentative="1">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3804642">
    <w:nsid w:val="371023E2"/>
    <w:multiLevelType w:val="multilevel"/>
    <w:tmpl w:val="371023E2"/>
    <w:lvl w:ilvl="0" w:tentative="1">
      <w:start w:val="1"/>
      <w:numFmt w:val="decimal"/>
      <w:lvlText w:val="%1"/>
      <w:lvlJc w:val="left"/>
      <w:pPr>
        <w:tabs>
          <w:tab w:val="left" w:pos="432"/>
        </w:tabs>
        <w:ind w:left="432" w:hanging="432"/>
      </w:pPr>
      <w:rPr>
        <w:rFonts w:hint="eastAsia"/>
      </w:rPr>
    </w:lvl>
    <w:lvl w:ilvl="1" w:tentative="1">
      <w:start w:val="1"/>
      <w:numFmt w:val="decimal"/>
      <w:lvlText w:val="2.%2"/>
      <w:lvlJc w:val="left"/>
      <w:pPr>
        <w:tabs>
          <w:tab w:val="left" w:pos="576"/>
        </w:tabs>
        <w:ind w:left="576" w:hanging="576"/>
      </w:pPr>
      <w:rPr>
        <w:rFonts w:hint="eastAsia"/>
      </w:rPr>
    </w:lvl>
    <w:lvl w:ilvl="2" w:tentative="1">
      <w:start w:val="1"/>
      <w:numFmt w:val="decimal"/>
      <w:lvlText w:val="%1.%2.%3"/>
      <w:lvlJc w:val="left"/>
      <w:pPr>
        <w:tabs>
          <w:tab w:val="left" w:pos="720"/>
        </w:tabs>
        <w:ind w:left="720" w:hanging="720"/>
      </w:pPr>
      <w:rPr>
        <w:rFonts w:hint="eastAsia"/>
      </w:rPr>
    </w:lvl>
    <w:lvl w:ilvl="3" w:tentative="1">
      <w:start w:val="1"/>
      <w:numFmt w:val="decimal"/>
      <w:lvlText w:val="%1.%2.%3.%4"/>
      <w:lvlJc w:val="left"/>
      <w:pPr>
        <w:tabs>
          <w:tab w:val="left" w:pos="864"/>
        </w:tabs>
        <w:ind w:left="864" w:hanging="864"/>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2085683680">
    <w:nsid w:val="7C5101E0"/>
    <w:multiLevelType w:val="multilevel"/>
    <w:tmpl w:val="7C5101E0"/>
    <w:lvl w:ilvl="0" w:tentative="1">
      <w:start w:val="1"/>
      <w:numFmt w:val="decimal"/>
      <w:pStyle w:val="2"/>
      <w:lvlText w:val="%1."/>
      <w:lvlJc w:val="left"/>
      <w:pPr>
        <w:ind w:left="420" w:hanging="420"/>
      </w:pPr>
    </w:lvl>
    <w:lvl w:ilvl="1" w:tentative="1">
      <w:start w:val="1"/>
      <w:numFmt w:val="decimal"/>
      <w:lvlText w:val="1.%2"/>
      <w:lvlJc w:val="left"/>
      <w:pPr>
        <w:ind w:left="840" w:hanging="420"/>
      </w:pPr>
      <w:rPr>
        <w:rFonts w:hint="eastAsia"/>
      </w:r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54819000">
    <w:nsid w:val="3EDF42B8"/>
    <w:multiLevelType w:val="multilevel"/>
    <w:tmpl w:val="3EDF42B8"/>
    <w:lvl w:ilvl="0" w:tentative="1">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46180057">
    <w:nsid w:val="14A249D9"/>
    <w:multiLevelType w:val="multilevel"/>
    <w:tmpl w:val="14A249D9"/>
    <w:lvl w:ilvl="0" w:tentative="1">
      <w:start w:val="1"/>
      <w:numFmt w:val="bullet"/>
      <w:pStyle w:val="19"/>
      <w:lvlText w:val=""/>
      <w:lvlJc w:val="left"/>
      <w:pPr>
        <w:ind w:left="222" w:hanging="420"/>
      </w:pPr>
      <w:rPr>
        <w:rFonts w:hint="default" w:ascii="Wingdings" w:hAnsi="Wingdings"/>
      </w:rPr>
    </w:lvl>
    <w:lvl w:ilvl="1" w:tentative="1">
      <w:start w:val="1"/>
      <w:numFmt w:val="bullet"/>
      <w:lvlText w:val=""/>
      <w:lvlJc w:val="left"/>
      <w:pPr>
        <w:ind w:left="840" w:hanging="420"/>
      </w:pPr>
      <w:rPr>
        <w:rFonts w:hint="default" w:ascii="Wingdings" w:hAnsi="Wingdings"/>
      </w:rPr>
    </w:lvl>
    <w:lvl w:ilvl="2" w:tentative="1">
      <w:start w:val="1"/>
      <w:numFmt w:val="bullet"/>
      <w:lvlText w:val=""/>
      <w:lvlJc w:val="left"/>
      <w:pPr>
        <w:ind w:left="1260" w:hanging="420"/>
      </w:pPr>
      <w:rPr>
        <w:rFonts w:hint="default" w:ascii="Wingdings" w:hAnsi="Wingdings"/>
      </w:rPr>
    </w:lvl>
    <w:lvl w:ilvl="3" w:tentative="1">
      <w:start w:val="1"/>
      <w:numFmt w:val="bullet"/>
      <w:lvlText w:val=""/>
      <w:lvlJc w:val="left"/>
      <w:pPr>
        <w:ind w:left="1680" w:hanging="420"/>
      </w:pPr>
      <w:rPr>
        <w:rFonts w:hint="default" w:ascii="Wingdings" w:hAnsi="Wingdings"/>
      </w:rPr>
    </w:lvl>
    <w:lvl w:ilvl="4" w:tentative="1">
      <w:start w:val="1"/>
      <w:numFmt w:val="bullet"/>
      <w:lvlText w:val=""/>
      <w:lvlJc w:val="left"/>
      <w:pPr>
        <w:ind w:left="2100" w:hanging="420"/>
      </w:pPr>
      <w:rPr>
        <w:rFonts w:hint="default" w:ascii="Wingdings" w:hAnsi="Wingdings"/>
      </w:rPr>
    </w:lvl>
    <w:lvl w:ilvl="5" w:tentative="1">
      <w:start w:val="1"/>
      <w:numFmt w:val="bullet"/>
      <w:lvlText w:val=""/>
      <w:lvlJc w:val="left"/>
      <w:pPr>
        <w:ind w:left="2520" w:hanging="420"/>
      </w:pPr>
      <w:rPr>
        <w:rFonts w:hint="default" w:ascii="Wingdings" w:hAnsi="Wingdings"/>
      </w:rPr>
    </w:lvl>
    <w:lvl w:ilvl="6" w:tentative="1">
      <w:start w:val="1"/>
      <w:numFmt w:val="bullet"/>
      <w:lvlText w:val=""/>
      <w:lvlJc w:val="left"/>
      <w:pPr>
        <w:ind w:left="2940" w:hanging="420"/>
      </w:pPr>
      <w:rPr>
        <w:rFonts w:hint="default" w:ascii="Wingdings" w:hAnsi="Wingdings"/>
      </w:rPr>
    </w:lvl>
    <w:lvl w:ilvl="7" w:tentative="1">
      <w:start w:val="1"/>
      <w:numFmt w:val="bullet"/>
      <w:lvlText w:val=""/>
      <w:lvlJc w:val="left"/>
      <w:pPr>
        <w:ind w:left="3360" w:hanging="420"/>
      </w:pPr>
      <w:rPr>
        <w:rFonts w:hint="default" w:ascii="Wingdings" w:hAnsi="Wingdings"/>
      </w:rPr>
    </w:lvl>
    <w:lvl w:ilvl="8" w:tentative="1">
      <w:start w:val="1"/>
      <w:numFmt w:val="bullet"/>
      <w:lvlText w:val=""/>
      <w:lvlJc w:val="left"/>
      <w:pPr>
        <w:ind w:left="3780" w:hanging="420"/>
      </w:pPr>
      <w:rPr>
        <w:rFonts w:hint="default" w:ascii="Wingdings" w:hAnsi="Wingdings"/>
      </w:rPr>
    </w:lvl>
  </w:abstractNum>
  <w:num w:numId="1">
    <w:abstractNumId w:val="2085683680"/>
  </w:num>
  <w:num w:numId="2">
    <w:abstractNumId w:val="346180057"/>
  </w:num>
  <w:num w:numId="3">
    <w:abstractNumId w:val="923804642"/>
  </w:num>
  <w:num w:numId="4">
    <w:abstractNumId w:val="1481000335"/>
  </w:num>
  <w:num w:numId="5">
    <w:abstractNumId w:val="10548190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splitPgBreakAndParaMark/>
    <w:adjustLineHeightInTable/>
    <w:doNotBreakWrappedTables/>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1BC9"/>
    <w:rsid w:val="00001E4D"/>
    <w:rsid w:val="00002B11"/>
    <w:rsid w:val="0000410E"/>
    <w:rsid w:val="0000505F"/>
    <w:rsid w:val="000058E6"/>
    <w:rsid w:val="00013D13"/>
    <w:rsid w:val="000147F8"/>
    <w:rsid w:val="00015D9A"/>
    <w:rsid w:val="000175B8"/>
    <w:rsid w:val="00026363"/>
    <w:rsid w:val="00026AC8"/>
    <w:rsid w:val="00031575"/>
    <w:rsid w:val="000326CE"/>
    <w:rsid w:val="0003314F"/>
    <w:rsid w:val="00037467"/>
    <w:rsid w:val="000429C1"/>
    <w:rsid w:val="0004304D"/>
    <w:rsid w:val="00043396"/>
    <w:rsid w:val="00045425"/>
    <w:rsid w:val="000542BD"/>
    <w:rsid w:val="000554F3"/>
    <w:rsid w:val="000618BB"/>
    <w:rsid w:val="00061ED7"/>
    <w:rsid w:val="00064F59"/>
    <w:rsid w:val="0007060B"/>
    <w:rsid w:val="00074635"/>
    <w:rsid w:val="00081E2D"/>
    <w:rsid w:val="00084599"/>
    <w:rsid w:val="00087480"/>
    <w:rsid w:val="0009207D"/>
    <w:rsid w:val="00094F62"/>
    <w:rsid w:val="000973B6"/>
    <w:rsid w:val="000A0242"/>
    <w:rsid w:val="000A11DD"/>
    <w:rsid w:val="000A4046"/>
    <w:rsid w:val="000A65D6"/>
    <w:rsid w:val="000B40F3"/>
    <w:rsid w:val="000C25E1"/>
    <w:rsid w:val="000C3F5C"/>
    <w:rsid w:val="000C5B6D"/>
    <w:rsid w:val="000C7F8C"/>
    <w:rsid w:val="000D0BAF"/>
    <w:rsid w:val="000D3DAB"/>
    <w:rsid w:val="000D4B45"/>
    <w:rsid w:val="000E1D8C"/>
    <w:rsid w:val="000F2150"/>
    <w:rsid w:val="0010530A"/>
    <w:rsid w:val="00105C7B"/>
    <w:rsid w:val="00106CBF"/>
    <w:rsid w:val="0011455F"/>
    <w:rsid w:val="001149C7"/>
    <w:rsid w:val="00115AB4"/>
    <w:rsid w:val="001244B8"/>
    <w:rsid w:val="00125FB5"/>
    <w:rsid w:val="001304F0"/>
    <w:rsid w:val="00134BB3"/>
    <w:rsid w:val="00141F6D"/>
    <w:rsid w:val="001443A4"/>
    <w:rsid w:val="00144C5A"/>
    <w:rsid w:val="001461BC"/>
    <w:rsid w:val="001534F6"/>
    <w:rsid w:val="001550B1"/>
    <w:rsid w:val="001614D3"/>
    <w:rsid w:val="00163505"/>
    <w:rsid w:val="001655EA"/>
    <w:rsid w:val="001661D6"/>
    <w:rsid w:val="00170046"/>
    <w:rsid w:val="00171A1E"/>
    <w:rsid w:val="00171BC9"/>
    <w:rsid w:val="00171EEB"/>
    <w:rsid w:val="00173332"/>
    <w:rsid w:val="001733B9"/>
    <w:rsid w:val="00177BEA"/>
    <w:rsid w:val="00180581"/>
    <w:rsid w:val="00182C1D"/>
    <w:rsid w:val="0018426B"/>
    <w:rsid w:val="00186A89"/>
    <w:rsid w:val="00191A0C"/>
    <w:rsid w:val="00191CF8"/>
    <w:rsid w:val="0019416F"/>
    <w:rsid w:val="00194F79"/>
    <w:rsid w:val="00195188"/>
    <w:rsid w:val="001952C3"/>
    <w:rsid w:val="001A0E41"/>
    <w:rsid w:val="001A5279"/>
    <w:rsid w:val="001B1AB4"/>
    <w:rsid w:val="001B2263"/>
    <w:rsid w:val="001C46A8"/>
    <w:rsid w:val="001C5086"/>
    <w:rsid w:val="001D188F"/>
    <w:rsid w:val="001D5FE1"/>
    <w:rsid w:val="001E6B56"/>
    <w:rsid w:val="001E7ADC"/>
    <w:rsid w:val="001F6CD5"/>
    <w:rsid w:val="0020205A"/>
    <w:rsid w:val="00203A14"/>
    <w:rsid w:val="002058AD"/>
    <w:rsid w:val="00215D4D"/>
    <w:rsid w:val="002168FD"/>
    <w:rsid w:val="00216F21"/>
    <w:rsid w:val="00220D98"/>
    <w:rsid w:val="00225B90"/>
    <w:rsid w:val="00226591"/>
    <w:rsid w:val="00226894"/>
    <w:rsid w:val="00233400"/>
    <w:rsid w:val="002442DD"/>
    <w:rsid w:val="00245644"/>
    <w:rsid w:val="00246F17"/>
    <w:rsid w:val="0024779E"/>
    <w:rsid w:val="00252667"/>
    <w:rsid w:val="00255E60"/>
    <w:rsid w:val="002575D5"/>
    <w:rsid w:val="002639BA"/>
    <w:rsid w:val="002648CF"/>
    <w:rsid w:val="002757C0"/>
    <w:rsid w:val="00280110"/>
    <w:rsid w:val="00281A73"/>
    <w:rsid w:val="00283560"/>
    <w:rsid w:val="00285247"/>
    <w:rsid w:val="00286BDC"/>
    <w:rsid w:val="0029229F"/>
    <w:rsid w:val="00292BD8"/>
    <w:rsid w:val="002A2581"/>
    <w:rsid w:val="002A38C5"/>
    <w:rsid w:val="002A692C"/>
    <w:rsid w:val="002B245D"/>
    <w:rsid w:val="002B5638"/>
    <w:rsid w:val="002C4FBB"/>
    <w:rsid w:val="002D49F4"/>
    <w:rsid w:val="002D6C1F"/>
    <w:rsid w:val="002E1FD6"/>
    <w:rsid w:val="002F17F8"/>
    <w:rsid w:val="002F2837"/>
    <w:rsid w:val="002F2AC8"/>
    <w:rsid w:val="002F2B1D"/>
    <w:rsid w:val="002F569E"/>
    <w:rsid w:val="002F7103"/>
    <w:rsid w:val="00301082"/>
    <w:rsid w:val="00301F03"/>
    <w:rsid w:val="00306992"/>
    <w:rsid w:val="00307CAB"/>
    <w:rsid w:val="0031070B"/>
    <w:rsid w:val="00311DA8"/>
    <w:rsid w:val="00321762"/>
    <w:rsid w:val="003336F6"/>
    <w:rsid w:val="0033540F"/>
    <w:rsid w:val="003432D0"/>
    <w:rsid w:val="00344D9C"/>
    <w:rsid w:val="003459BB"/>
    <w:rsid w:val="00347616"/>
    <w:rsid w:val="0035210A"/>
    <w:rsid w:val="003529DF"/>
    <w:rsid w:val="003546CA"/>
    <w:rsid w:val="0035695F"/>
    <w:rsid w:val="003610CB"/>
    <w:rsid w:val="00362556"/>
    <w:rsid w:val="00366A16"/>
    <w:rsid w:val="00370F5A"/>
    <w:rsid w:val="00373A9A"/>
    <w:rsid w:val="00375061"/>
    <w:rsid w:val="003810C3"/>
    <w:rsid w:val="00386648"/>
    <w:rsid w:val="00386764"/>
    <w:rsid w:val="003919BC"/>
    <w:rsid w:val="0039603E"/>
    <w:rsid w:val="003A11F6"/>
    <w:rsid w:val="003A35B2"/>
    <w:rsid w:val="003A444C"/>
    <w:rsid w:val="003B1DC7"/>
    <w:rsid w:val="003B4FC3"/>
    <w:rsid w:val="003C054A"/>
    <w:rsid w:val="003C1238"/>
    <w:rsid w:val="003C4272"/>
    <w:rsid w:val="003D3750"/>
    <w:rsid w:val="003E23DF"/>
    <w:rsid w:val="003E407A"/>
    <w:rsid w:val="003E4EBB"/>
    <w:rsid w:val="003E73B9"/>
    <w:rsid w:val="003E7DCA"/>
    <w:rsid w:val="003F406D"/>
    <w:rsid w:val="003F4427"/>
    <w:rsid w:val="003F5B29"/>
    <w:rsid w:val="003F5F87"/>
    <w:rsid w:val="00402B57"/>
    <w:rsid w:val="0040512B"/>
    <w:rsid w:val="00411403"/>
    <w:rsid w:val="00413DFE"/>
    <w:rsid w:val="004172CB"/>
    <w:rsid w:val="004172F7"/>
    <w:rsid w:val="0042338B"/>
    <w:rsid w:val="004315CC"/>
    <w:rsid w:val="00431690"/>
    <w:rsid w:val="00440E60"/>
    <w:rsid w:val="004567FC"/>
    <w:rsid w:val="00463593"/>
    <w:rsid w:val="004660E2"/>
    <w:rsid w:val="004666CB"/>
    <w:rsid w:val="00475193"/>
    <w:rsid w:val="004765B0"/>
    <w:rsid w:val="00476BF6"/>
    <w:rsid w:val="004823E9"/>
    <w:rsid w:val="0048620A"/>
    <w:rsid w:val="00490DF3"/>
    <w:rsid w:val="00494AE8"/>
    <w:rsid w:val="00496465"/>
    <w:rsid w:val="004A1687"/>
    <w:rsid w:val="004A40C2"/>
    <w:rsid w:val="004B3947"/>
    <w:rsid w:val="004C4509"/>
    <w:rsid w:val="004C6907"/>
    <w:rsid w:val="004D0D93"/>
    <w:rsid w:val="004D4685"/>
    <w:rsid w:val="004E4E95"/>
    <w:rsid w:val="004E5E06"/>
    <w:rsid w:val="004F0192"/>
    <w:rsid w:val="00500C5A"/>
    <w:rsid w:val="00500EE9"/>
    <w:rsid w:val="00503507"/>
    <w:rsid w:val="00511B6F"/>
    <w:rsid w:val="00513E89"/>
    <w:rsid w:val="00514DF4"/>
    <w:rsid w:val="00515116"/>
    <w:rsid w:val="0051592E"/>
    <w:rsid w:val="0051604A"/>
    <w:rsid w:val="00517BCC"/>
    <w:rsid w:val="00520B15"/>
    <w:rsid w:val="005253C6"/>
    <w:rsid w:val="00526CA7"/>
    <w:rsid w:val="00527091"/>
    <w:rsid w:val="0053374D"/>
    <w:rsid w:val="00533DCD"/>
    <w:rsid w:val="00533E5D"/>
    <w:rsid w:val="0053555F"/>
    <w:rsid w:val="005369A1"/>
    <w:rsid w:val="00540858"/>
    <w:rsid w:val="00545EE6"/>
    <w:rsid w:val="005467FF"/>
    <w:rsid w:val="00556D91"/>
    <w:rsid w:val="00557D62"/>
    <w:rsid w:val="00561540"/>
    <w:rsid w:val="00563496"/>
    <w:rsid w:val="005639D8"/>
    <w:rsid w:val="005709C9"/>
    <w:rsid w:val="00574961"/>
    <w:rsid w:val="00576A95"/>
    <w:rsid w:val="00580183"/>
    <w:rsid w:val="00586F05"/>
    <w:rsid w:val="00592675"/>
    <w:rsid w:val="005935FF"/>
    <w:rsid w:val="00595838"/>
    <w:rsid w:val="00597FA6"/>
    <w:rsid w:val="005A0749"/>
    <w:rsid w:val="005A2CF0"/>
    <w:rsid w:val="005A7329"/>
    <w:rsid w:val="005B0D81"/>
    <w:rsid w:val="005B274D"/>
    <w:rsid w:val="005B2A0F"/>
    <w:rsid w:val="005B30A8"/>
    <w:rsid w:val="005B43D4"/>
    <w:rsid w:val="005B58FC"/>
    <w:rsid w:val="005C2872"/>
    <w:rsid w:val="005C3199"/>
    <w:rsid w:val="005C7F4E"/>
    <w:rsid w:val="005D0CB2"/>
    <w:rsid w:val="005D3184"/>
    <w:rsid w:val="005D6BF7"/>
    <w:rsid w:val="005D6C61"/>
    <w:rsid w:val="005E1BEC"/>
    <w:rsid w:val="005E266A"/>
    <w:rsid w:val="005E3E63"/>
    <w:rsid w:val="005E4D5E"/>
    <w:rsid w:val="005E6A46"/>
    <w:rsid w:val="005F78CC"/>
    <w:rsid w:val="00601716"/>
    <w:rsid w:val="00605503"/>
    <w:rsid w:val="00607C04"/>
    <w:rsid w:val="0061302F"/>
    <w:rsid w:val="00615889"/>
    <w:rsid w:val="00615A04"/>
    <w:rsid w:val="00615E35"/>
    <w:rsid w:val="006206A6"/>
    <w:rsid w:val="006268B6"/>
    <w:rsid w:val="006304B0"/>
    <w:rsid w:val="00633725"/>
    <w:rsid w:val="00637761"/>
    <w:rsid w:val="00640438"/>
    <w:rsid w:val="00640641"/>
    <w:rsid w:val="006500AC"/>
    <w:rsid w:val="006515D3"/>
    <w:rsid w:val="00653880"/>
    <w:rsid w:val="00654FFA"/>
    <w:rsid w:val="006552E6"/>
    <w:rsid w:val="006554DB"/>
    <w:rsid w:val="00656E4E"/>
    <w:rsid w:val="00657191"/>
    <w:rsid w:val="006600F5"/>
    <w:rsid w:val="00671CC9"/>
    <w:rsid w:val="006744D1"/>
    <w:rsid w:val="00693627"/>
    <w:rsid w:val="00696625"/>
    <w:rsid w:val="00696A8E"/>
    <w:rsid w:val="006977B1"/>
    <w:rsid w:val="006A4396"/>
    <w:rsid w:val="006A7C0D"/>
    <w:rsid w:val="006B0C1F"/>
    <w:rsid w:val="006B1534"/>
    <w:rsid w:val="006B7F0C"/>
    <w:rsid w:val="006C2431"/>
    <w:rsid w:val="006C3009"/>
    <w:rsid w:val="006C39DA"/>
    <w:rsid w:val="006C3CA4"/>
    <w:rsid w:val="006C5B7C"/>
    <w:rsid w:val="006C5EEA"/>
    <w:rsid w:val="006C7075"/>
    <w:rsid w:val="006D18AA"/>
    <w:rsid w:val="006F0CC9"/>
    <w:rsid w:val="006F187F"/>
    <w:rsid w:val="006F4947"/>
    <w:rsid w:val="006F5150"/>
    <w:rsid w:val="006F5E93"/>
    <w:rsid w:val="007016D5"/>
    <w:rsid w:val="00701943"/>
    <w:rsid w:val="00701D86"/>
    <w:rsid w:val="007026A7"/>
    <w:rsid w:val="00704D61"/>
    <w:rsid w:val="00705932"/>
    <w:rsid w:val="00710479"/>
    <w:rsid w:val="00710624"/>
    <w:rsid w:val="00714362"/>
    <w:rsid w:val="007146DB"/>
    <w:rsid w:val="00714809"/>
    <w:rsid w:val="007176A9"/>
    <w:rsid w:val="007176FE"/>
    <w:rsid w:val="007210AB"/>
    <w:rsid w:val="00723BD8"/>
    <w:rsid w:val="00724090"/>
    <w:rsid w:val="007279FF"/>
    <w:rsid w:val="00734199"/>
    <w:rsid w:val="0073543B"/>
    <w:rsid w:val="007354DE"/>
    <w:rsid w:val="00741B09"/>
    <w:rsid w:val="00742063"/>
    <w:rsid w:val="00750A8D"/>
    <w:rsid w:val="00753FF6"/>
    <w:rsid w:val="00760A0E"/>
    <w:rsid w:val="00762CB6"/>
    <w:rsid w:val="007634D6"/>
    <w:rsid w:val="00763954"/>
    <w:rsid w:val="00764DAA"/>
    <w:rsid w:val="00766EBC"/>
    <w:rsid w:val="0076738E"/>
    <w:rsid w:val="007730A6"/>
    <w:rsid w:val="007736A0"/>
    <w:rsid w:val="007862E9"/>
    <w:rsid w:val="00795693"/>
    <w:rsid w:val="007A0513"/>
    <w:rsid w:val="007A3B66"/>
    <w:rsid w:val="007A771B"/>
    <w:rsid w:val="007B4CCA"/>
    <w:rsid w:val="007B5C6D"/>
    <w:rsid w:val="007B6985"/>
    <w:rsid w:val="007B7624"/>
    <w:rsid w:val="007C135F"/>
    <w:rsid w:val="007C540C"/>
    <w:rsid w:val="007D657C"/>
    <w:rsid w:val="007D7CDB"/>
    <w:rsid w:val="007F53DD"/>
    <w:rsid w:val="007F76C7"/>
    <w:rsid w:val="008068AA"/>
    <w:rsid w:val="00807165"/>
    <w:rsid w:val="00812A97"/>
    <w:rsid w:val="00814F52"/>
    <w:rsid w:val="008165C6"/>
    <w:rsid w:val="00816B97"/>
    <w:rsid w:val="00817183"/>
    <w:rsid w:val="00817ADC"/>
    <w:rsid w:val="00821A54"/>
    <w:rsid w:val="00826CAC"/>
    <w:rsid w:val="0083061C"/>
    <w:rsid w:val="00830780"/>
    <w:rsid w:val="00830E2D"/>
    <w:rsid w:val="008401D3"/>
    <w:rsid w:val="008428B2"/>
    <w:rsid w:val="00847A50"/>
    <w:rsid w:val="00853258"/>
    <w:rsid w:val="008704A6"/>
    <w:rsid w:val="00872222"/>
    <w:rsid w:val="008734A4"/>
    <w:rsid w:val="00873876"/>
    <w:rsid w:val="008756EA"/>
    <w:rsid w:val="00880F06"/>
    <w:rsid w:val="008904CC"/>
    <w:rsid w:val="00893E87"/>
    <w:rsid w:val="00894650"/>
    <w:rsid w:val="008A2D7B"/>
    <w:rsid w:val="008A48D1"/>
    <w:rsid w:val="008A6815"/>
    <w:rsid w:val="008B0546"/>
    <w:rsid w:val="008B07BC"/>
    <w:rsid w:val="008B1741"/>
    <w:rsid w:val="008B1B03"/>
    <w:rsid w:val="008B3764"/>
    <w:rsid w:val="008C001E"/>
    <w:rsid w:val="008C440F"/>
    <w:rsid w:val="008C6139"/>
    <w:rsid w:val="008D0057"/>
    <w:rsid w:val="008E234A"/>
    <w:rsid w:val="008E2433"/>
    <w:rsid w:val="008E3914"/>
    <w:rsid w:val="008E4507"/>
    <w:rsid w:val="008E759D"/>
    <w:rsid w:val="008F0751"/>
    <w:rsid w:val="008F5444"/>
    <w:rsid w:val="008F66CC"/>
    <w:rsid w:val="0090407E"/>
    <w:rsid w:val="009041BD"/>
    <w:rsid w:val="00904C6E"/>
    <w:rsid w:val="009077A7"/>
    <w:rsid w:val="00911BFB"/>
    <w:rsid w:val="00911BFD"/>
    <w:rsid w:val="0091271D"/>
    <w:rsid w:val="00913582"/>
    <w:rsid w:val="00915AE1"/>
    <w:rsid w:val="00916BD5"/>
    <w:rsid w:val="009201B2"/>
    <w:rsid w:val="0092190C"/>
    <w:rsid w:val="00922BDF"/>
    <w:rsid w:val="009233E1"/>
    <w:rsid w:val="00930193"/>
    <w:rsid w:val="00934762"/>
    <w:rsid w:val="00941E72"/>
    <w:rsid w:val="00945415"/>
    <w:rsid w:val="00952201"/>
    <w:rsid w:val="00954EB0"/>
    <w:rsid w:val="00955F91"/>
    <w:rsid w:val="009604F9"/>
    <w:rsid w:val="00960CC8"/>
    <w:rsid w:val="00962B5A"/>
    <w:rsid w:val="00964C4A"/>
    <w:rsid w:val="00965B9D"/>
    <w:rsid w:val="00967800"/>
    <w:rsid w:val="00971D7C"/>
    <w:rsid w:val="009725D0"/>
    <w:rsid w:val="0097331E"/>
    <w:rsid w:val="0097415B"/>
    <w:rsid w:val="0098073A"/>
    <w:rsid w:val="00981AE8"/>
    <w:rsid w:val="009827E9"/>
    <w:rsid w:val="00983943"/>
    <w:rsid w:val="009869DF"/>
    <w:rsid w:val="00987A4F"/>
    <w:rsid w:val="00990E30"/>
    <w:rsid w:val="00991408"/>
    <w:rsid w:val="00992E7B"/>
    <w:rsid w:val="009933F6"/>
    <w:rsid w:val="009944F4"/>
    <w:rsid w:val="009967C6"/>
    <w:rsid w:val="00997161"/>
    <w:rsid w:val="009A1C6E"/>
    <w:rsid w:val="009B2F00"/>
    <w:rsid w:val="009B6F8C"/>
    <w:rsid w:val="009B7BFD"/>
    <w:rsid w:val="009C2B23"/>
    <w:rsid w:val="009C2DEB"/>
    <w:rsid w:val="009D3211"/>
    <w:rsid w:val="009D54A2"/>
    <w:rsid w:val="009D5A8C"/>
    <w:rsid w:val="009D6216"/>
    <w:rsid w:val="009E257F"/>
    <w:rsid w:val="009E361E"/>
    <w:rsid w:val="00A068FA"/>
    <w:rsid w:val="00A0702F"/>
    <w:rsid w:val="00A07401"/>
    <w:rsid w:val="00A2440E"/>
    <w:rsid w:val="00A27E3F"/>
    <w:rsid w:val="00A35641"/>
    <w:rsid w:val="00A366B1"/>
    <w:rsid w:val="00A52BBE"/>
    <w:rsid w:val="00A562E7"/>
    <w:rsid w:val="00A611F2"/>
    <w:rsid w:val="00A630D9"/>
    <w:rsid w:val="00A761C1"/>
    <w:rsid w:val="00A827A6"/>
    <w:rsid w:val="00A86CDF"/>
    <w:rsid w:val="00A94E97"/>
    <w:rsid w:val="00A95989"/>
    <w:rsid w:val="00A96645"/>
    <w:rsid w:val="00A97D68"/>
    <w:rsid w:val="00AA00BE"/>
    <w:rsid w:val="00AA0F63"/>
    <w:rsid w:val="00AA1805"/>
    <w:rsid w:val="00AA425D"/>
    <w:rsid w:val="00AB281C"/>
    <w:rsid w:val="00AB3494"/>
    <w:rsid w:val="00AB4967"/>
    <w:rsid w:val="00AB4E3B"/>
    <w:rsid w:val="00AB6AF2"/>
    <w:rsid w:val="00AC6B31"/>
    <w:rsid w:val="00AD32E0"/>
    <w:rsid w:val="00AD58C6"/>
    <w:rsid w:val="00AD71D3"/>
    <w:rsid w:val="00AD7545"/>
    <w:rsid w:val="00AE0B2E"/>
    <w:rsid w:val="00AE54DF"/>
    <w:rsid w:val="00AE5FAD"/>
    <w:rsid w:val="00AF0228"/>
    <w:rsid w:val="00AF10D7"/>
    <w:rsid w:val="00AF387C"/>
    <w:rsid w:val="00AF3B9E"/>
    <w:rsid w:val="00AF502F"/>
    <w:rsid w:val="00AF685D"/>
    <w:rsid w:val="00B05D23"/>
    <w:rsid w:val="00B1236D"/>
    <w:rsid w:val="00B13C7E"/>
    <w:rsid w:val="00B15E78"/>
    <w:rsid w:val="00B20141"/>
    <w:rsid w:val="00B22C80"/>
    <w:rsid w:val="00B23A65"/>
    <w:rsid w:val="00B31558"/>
    <w:rsid w:val="00B320BA"/>
    <w:rsid w:val="00B33CA7"/>
    <w:rsid w:val="00B3484A"/>
    <w:rsid w:val="00B35C60"/>
    <w:rsid w:val="00B40564"/>
    <w:rsid w:val="00B4779C"/>
    <w:rsid w:val="00B513EC"/>
    <w:rsid w:val="00B5183B"/>
    <w:rsid w:val="00B5334A"/>
    <w:rsid w:val="00B57323"/>
    <w:rsid w:val="00B5778C"/>
    <w:rsid w:val="00B623F4"/>
    <w:rsid w:val="00B6617C"/>
    <w:rsid w:val="00B733F8"/>
    <w:rsid w:val="00B73557"/>
    <w:rsid w:val="00B75D6B"/>
    <w:rsid w:val="00B779D2"/>
    <w:rsid w:val="00B829AF"/>
    <w:rsid w:val="00B82A83"/>
    <w:rsid w:val="00B854E1"/>
    <w:rsid w:val="00B85E44"/>
    <w:rsid w:val="00B86197"/>
    <w:rsid w:val="00B90F0B"/>
    <w:rsid w:val="00B917AE"/>
    <w:rsid w:val="00B934FF"/>
    <w:rsid w:val="00B93F24"/>
    <w:rsid w:val="00B94F3D"/>
    <w:rsid w:val="00B95E55"/>
    <w:rsid w:val="00BA2A3F"/>
    <w:rsid w:val="00BA60FD"/>
    <w:rsid w:val="00BA721F"/>
    <w:rsid w:val="00BA7E75"/>
    <w:rsid w:val="00BC6C63"/>
    <w:rsid w:val="00BD06CB"/>
    <w:rsid w:val="00BD34FF"/>
    <w:rsid w:val="00BD5406"/>
    <w:rsid w:val="00BD6099"/>
    <w:rsid w:val="00BE6135"/>
    <w:rsid w:val="00BF57CE"/>
    <w:rsid w:val="00C01715"/>
    <w:rsid w:val="00C033AB"/>
    <w:rsid w:val="00C03485"/>
    <w:rsid w:val="00C04897"/>
    <w:rsid w:val="00C06B26"/>
    <w:rsid w:val="00C07492"/>
    <w:rsid w:val="00C137F3"/>
    <w:rsid w:val="00C141B2"/>
    <w:rsid w:val="00C1569F"/>
    <w:rsid w:val="00C169E8"/>
    <w:rsid w:val="00C17EA3"/>
    <w:rsid w:val="00C17F4D"/>
    <w:rsid w:val="00C20C02"/>
    <w:rsid w:val="00C216D5"/>
    <w:rsid w:val="00C218F2"/>
    <w:rsid w:val="00C24540"/>
    <w:rsid w:val="00C27A7A"/>
    <w:rsid w:val="00C30D97"/>
    <w:rsid w:val="00C30E79"/>
    <w:rsid w:val="00C33316"/>
    <w:rsid w:val="00C34D54"/>
    <w:rsid w:val="00C35A86"/>
    <w:rsid w:val="00C40C8B"/>
    <w:rsid w:val="00C439CB"/>
    <w:rsid w:val="00C44FA3"/>
    <w:rsid w:val="00C4502B"/>
    <w:rsid w:val="00C54FC1"/>
    <w:rsid w:val="00C67F9F"/>
    <w:rsid w:val="00C725E8"/>
    <w:rsid w:val="00C73700"/>
    <w:rsid w:val="00C73FA9"/>
    <w:rsid w:val="00C82DC5"/>
    <w:rsid w:val="00C906D5"/>
    <w:rsid w:val="00C92038"/>
    <w:rsid w:val="00C94F4F"/>
    <w:rsid w:val="00C94F61"/>
    <w:rsid w:val="00C97DE4"/>
    <w:rsid w:val="00CA5FA5"/>
    <w:rsid w:val="00CB62D2"/>
    <w:rsid w:val="00CC04BC"/>
    <w:rsid w:val="00CD3600"/>
    <w:rsid w:val="00CE0060"/>
    <w:rsid w:val="00CE27CA"/>
    <w:rsid w:val="00CE3EA1"/>
    <w:rsid w:val="00CE54CA"/>
    <w:rsid w:val="00CE66A3"/>
    <w:rsid w:val="00CF5196"/>
    <w:rsid w:val="00CF6DB8"/>
    <w:rsid w:val="00D038DD"/>
    <w:rsid w:val="00D04CDA"/>
    <w:rsid w:val="00D054EE"/>
    <w:rsid w:val="00D0559B"/>
    <w:rsid w:val="00D15CC9"/>
    <w:rsid w:val="00D16C7D"/>
    <w:rsid w:val="00D21271"/>
    <w:rsid w:val="00D214DE"/>
    <w:rsid w:val="00D21973"/>
    <w:rsid w:val="00D22DFC"/>
    <w:rsid w:val="00D23265"/>
    <w:rsid w:val="00D2399A"/>
    <w:rsid w:val="00D25ACD"/>
    <w:rsid w:val="00D26C58"/>
    <w:rsid w:val="00D27F41"/>
    <w:rsid w:val="00D30A22"/>
    <w:rsid w:val="00D33BC2"/>
    <w:rsid w:val="00D409C4"/>
    <w:rsid w:val="00D46261"/>
    <w:rsid w:val="00D565B8"/>
    <w:rsid w:val="00D619ED"/>
    <w:rsid w:val="00D62807"/>
    <w:rsid w:val="00D64CB9"/>
    <w:rsid w:val="00D71E72"/>
    <w:rsid w:val="00D725E3"/>
    <w:rsid w:val="00D76EE6"/>
    <w:rsid w:val="00D77AEF"/>
    <w:rsid w:val="00D8741A"/>
    <w:rsid w:val="00D90766"/>
    <w:rsid w:val="00D933A2"/>
    <w:rsid w:val="00D95ADB"/>
    <w:rsid w:val="00D96315"/>
    <w:rsid w:val="00DA5EF3"/>
    <w:rsid w:val="00DA6D21"/>
    <w:rsid w:val="00DB3012"/>
    <w:rsid w:val="00DB5277"/>
    <w:rsid w:val="00DB7307"/>
    <w:rsid w:val="00DB7483"/>
    <w:rsid w:val="00DB7829"/>
    <w:rsid w:val="00DC03E1"/>
    <w:rsid w:val="00DC16AB"/>
    <w:rsid w:val="00DC298A"/>
    <w:rsid w:val="00DC3B13"/>
    <w:rsid w:val="00DE07E8"/>
    <w:rsid w:val="00DE3641"/>
    <w:rsid w:val="00DE3733"/>
    <w:rsid w:val="00DE5E37"/>
    <w:rsid w:val="00DE66D3"/>
    <w:rsid w:val="00DF2136"/>
    <w:rsid w:val="00DF3A67"/>
    <w:rsid w:val="00DF6D8F"/>
    <w:rsid w:val="00E079C6"/>
    <w:rsid w:val="00E10C59"/>
    <w:rsid w:val="00E172BB"/>
    <w:rsid w:val="00E24268"/>
    <w:rsid w:val="00E27ED9"/>
    <w:rsid w:val="00E3611C"/>
    <w:rsid w:val="00E376BB"/>
    <w:rsid w:val="00E4034E"/>
    <w:rsid w:val="00E40B62"/>
    <w:rsid w:val="00E431E2"/>
    <w:rsid w:val="00E440E9"/>
    <w:rsid w:val="00E52065"/>
    <w:rsid w:val="00E552EF"/>
    <w:rsid w:val="00E55BFD"/>
    <w:rsid w:val="00E5647E"/>
    <w:rsid w:val="00E56F6C"/>
    <w:rsid w:val="00E72C0F"/>
    <w:rsid w:val="00E72FF4"/>
    <w:rsid w:val="00E75038"/>
    <w:rsid w:val="00E777DE"/>
    <w:rsid w:val="00E82331"/>
    <w:rsid w:val="00E82B99"/>
    <w:rsid w:val="00E84A4C"/>
    <w:rsid w:val="00E86423"/>
    <w:rsid w:val="00E87A17"/>
    <w:rsid w:val="00E973E2"/>
    <w:rsid w:val="00E97C07"/>
    <w:rsid w:val="00EA038A"/>
    <w:rsid w:val="00EA0A2B"/>
    <w:rsid w:val="00EA1767"/>
    <w:rsid w:val="00EB0554"/>
    <w:rsid w:val="00EB7EEC"/>
    <w:rsid w:val="00EC1364"/>
    <w:rsid w:val="00EC16D0"/>
    <w:rsid w:val="00EC31B3"/>
    <w:rsid w:val="00ED44EA"/>
    <w:rsid w:val="00ED5F10"/>
    <w:rsid w:val="00ED69EB"/>
    <w:rsid w:val="00ED7FB2"/>
    <w:rsid w:val="00EE12B6"/>
    <w:rsid w:val="00EE2DED"/>
    <w:rsid w:val="00EE5B02"/>
    <w:rsid w:val="00EF004F"/>
    <w:rsid w:val="00EF0BC5"/>
    <w:rsid w:val="00EF304E"/>
    <w:rsid w:val="00EF41E4"/>
    <w:rsid w:val="00EF4F50"/>
    <w:rsid w:val="00EF5732"/>
    <w:rsid w:val="00EF7E51"/>
    <w:rsid w:val="00F00019"/>
    <w:rsid w:val="00F02911"/>
    <w:rsid w:val="00F030D9"/>
    <w:rsid w:val="00F04478"/>
    <w:rsid w:val="00F20ACF"/>
    <w:rsid w:val="00F2216B"/>
    <w:rsid w:val="00F22A58"/>
    <w:rsid w:val="00F274E3"/>
    <w:rsid w:val="00F27589"/>
    <w:rsid w:val="00F2794C"/>
    <w:rsid w:val="00F31DF2"/>
    <w:rsid w:val="00F5091F"/>
    <w:rsid w:val="00F61DD6"/>
    <w:rsid w:val="00F62AB1"/>
    <w:rsid w:val="00F62DA0"/>
    <w:rsid w:val="00F65831"/>
    <w:rsid w:val="00F676F9"/>
    <w:rsid w:val="00F67861"/>
    <w:rsid w:val="00F72C7C"/>
    <w:rsid w:val="00F763C2"/>
    <w:rsid w:val="00F770CC"/>
    <w:rsid w:val="00F81B71"/>
    <w:rsid w:val="00F8340A"/>
    <w:rsid w:val="00F906AA"/>
    <w:rsid w:val="00F92AD8"/>
    <w:rsid w:val="00F947A3"/>
    <w:rsid w:val="00F956EA"/>
    <w:rsid w:val="00F966BF"/>
    <w:rsid w:val="00FA1183"/>
    <w:rsid w:val="00FA5593"/>
    <w:rsid w:val="00FA6846"/>
    <w:rsid w:val="00FB1907"/>
    <w:rsid w:val="00FB2C7A"/>
    <w:rsid w:val="00FB6149"/>
    <w:rsid w:val="00FB7386"/>
    <w:rsid w:val="00FC76CB"/>
    <w:rsid w:val="00FC79AE"/>
    <w:rsid w:val="00FD0318"/>
    <w:rsid w:val="00FD5FE3"/>
    <w:rsid w:val="00FE245B"/>
    <w:rsid w:val="00FE7CED"/>
    <w:rsid w:val="00FF21B4"/>
    <w:rsid w:val="00FF3E95"/>
    <w:rsid w:val="00FF5D78"/>
    <w:rsid w:val="013116E2"/>
    <w:rsid w:val="019A10AD"/>
    <w:rsid w:val="01D45D8F"/>
    <w:rsid w:val="031D2D3A"/>
    <w:rsid w:val="03926FEA"/>
    <w:rsid w:val="03B504A3"/>
    <w:rsid w:val="04556D28"/>
    <w:rsid w:val="045A6A33"/>
    <w:rsid w:val="04716658"/>
    <w:rsid w:val="04991D9B"/>
    <w:rsid w:val="06B16B87"/>
    <w:rsid w:val="07D25D65"/>
    <w:rsid w:val="082E7378"/>
    <w:rsid w:val="08362206"/>
    <w:rsid w:val="08385709"/>
    <w:rsid w:val="08CA2A7A"/>
    <w:rsid w:val="0B8C5B00"/>
    <w:rsid w:val="0BC649E1"/>
    <w:rsid w:val="0C537AC8"/>
    <w:rsid w:val="0C60355A"/>
    <w:rsid w:val="0DDF2AD2"/>
    <w:rsid w:val="10686C78"/>
    <w:rsid w:val="10F62C97"/>
    <w:rsid w:val="112660B5"/>
    <w:rsid w:val="134E0C3A"/>
    <w:rsid w:val="146F4594"/>
    <w:rsid w:val="14B57287"/>
    <w:rsid w:val="14FE50FD"/>
    <w:rsid w:val="1504288A"/>
    <w:rsid w:val="156724F6"/>
    <w:rsid w:val="15E056F0"/>
    <w:rsid w:val="163376F8"/>
    <w:rsid w:val="16597938"/>
    <w:rsid w:val="16C7781E"/>
    <w:rsid w:val="171731EE"/>
    <w:rsid w:val="17CA348D"/>
    <w:rsid w:val="182E07B8"/>
    <w:rsid w:val="185A0382"/>
    <w:rsid w:val="192B2C59"/>
    <w:rsid w:val="1AAE5354"/>
    <w:rsid w:val="1ADD2620"/>
    <w:rsid w:val="1AEC0F5D"/>
    <w:rsid w:val="1CA6256B"/>
    <w:rsid w:val="1E8E3806"/>
    <w:rsid w:val="1EA17C71"/>
    <w:rsid w:val="1F2C6132"/>
    <w:rsid w:val="1F753FA8"/>
    <w:rsid w:val="1FB2188E"/>
    <w:rsid w:val="20022912"/>
    <w:rsid w:val="210C2DC4"/>
    <w:rsid w:val="21E45026"/>
    <w:rsid w:val="220C3FEC"/>
    <w:rsid w:val="245473A9"/>
    <w:rsid w:val="249F0722"/>
    <w:rsid w:val="258E03AA"/>
    <w:rsid w:val="26DF22D6"/>
    <w:rsid w:val="27046C92"/>
    <w:rsid w:val="2794527C"/>
    <w:rsid w:val="286B52E0"/>
    <w:rsid w:val="28DE781D"/>
    <w:rsid w:val="290C37E4"/>
    <w:rsid w:val="29AE6BF1"/>
    <w:rsid w:val="2B1264B8"/>
    <w:rsid w:val="2B436C87"/>
    <w:rsid w:val="2BD32CF3"/>
    <w:rsid w:val="2CF4664D"/>
    <w:rsid w:val="2CF72E55"/>
    <w:rsid w:val="2D406ACD"/>
    <w:rsid w:val="2E683FB0"/>
    <w:rsid w:val="2E7916D9"/>
    <w:rsid w:val="2F0363AD"/>
    <w:rsid w:val="3081799B"/>
    <w:rsid w:val="30C82816"/>
    <w:rsid w:val="315A679C"/>
    <w:rsid w:val="330512E9"/>
    <w:rsid w:val="346C040E"/>
    <w:rsid w:val="348E1C47"/>
    <w:rsid w:val="368C170D"/>
    <w:rsid w:val="36A9357D"/>
    <w:rsid w:val="38486270"/>
    <w:rsid w:val="391E61C3"/>
    <w:rsid w:val="392D67DD"/>
    <w:rsid w:val="3A076141"/>
    <w:rsid w:val="3A1D3B67"/>
    <w:rsid w:val="3A7022ED"/>
    <w:rsid w:val="3B536163"/>
    <w:rsid w:val="3BC87906"/>
    <w:rsid w:val="3D2C346A"/>
    <w:rsid w:val="3E764706"/>
    <w:rsid w:val="3E7C1E93"/>
    <w:rsid w:val="409E758E"/>
    <w:rsid w:val="416C4764"/>
    <w:rsid w:val="42092064"/>
    <w:rsid w:val="428419AD"/>
    <w:rsid w:val="438A6CDC"/>
    <w:rsid w:val="441433BD"/>
    <w:rsid w:val="44C35AE0"/>
    <w:rsid w:val="454B473F"/>
    <w:rsid w:val="45520847"/>
    <w:rsid w:val="45662D6A"/>
    <w:rsid w:val="45B11EE5"/>
    <w:rsid w:val="45FD6761"/>
    <w:rsid w:val="46B34F8B"/>
    <w:rsid w:val="46EF4DF0"/>
    <w:rsid w:val="47974304"/>
    <w:rsid w:val="47BB79BB"/>
    <w:rsid w:val="47F0209C"/>
    <w:rsid w:val="481D675B"/>
    <w:rsid w:val="48C2276C"/>
    <w:rsid w:val="48F17A38"/>
    <w:rsid w:val="4A013479"/>
    <w:rsid w:val="4B966D92"/>
    <w:rsid w:val="4BE87A96"/>
    <w:rsid w:val="4C8B2B22"/>
    <w:rsid w:val="4D4B7A8E"/>
    <w:rsid w:val="4DDC11CB"/>
    <w:rsid w:val="4E376061"/>
    <w:rsid w:val="4E832C5D"/>
    <w:rsid w:val="50175272"/>
    <w:rsid w:val="50DA0833"/>
    <w:rsid w:val="515371F8"/>
    <w:rsid w:val="51C130AF"/>
    <w:rsid w:val="54B57C0A"/>
    <w:rsid w:val="55000F83"/>
    <w:rsid w:val="555A2916"/>
    <w:rsid w:val="56766566"/>
    <w:rsid w:val="5695254A"/>
    <w:rsid w:val="59EB2715"/>
    <w:rsid w:val="5AD45C67"/>
    <w:rsid w:val="5C68052A"/>
    <w:rsid w:val="5D0D3237"/>
    <w:rsid w:val="5DFE6042"/>
    <w:rsid w:val="60171F35"/>
    <w:rsid w:val="601B093B"/>
    <w:rsid w:val="60767D50"/>
    <w:rsid w:val="60C864D5"/>
    <w:rsid w:val="61DD0181"/>
    <w:rsid w:val="62A55DE6"/>
    <w:rsid w:val="638B1DD6"/>
    <w:rsid w:val="63FE731D"/>
    <w:rsid w:val="6437077B"/>
    <w:rsid w:val="65923EB0"/>
    <w:rsid w:val="667B3E2D"/>
    <w:rsid w:val="67115625"/>
    <w:rsid w:val="687703F0"/>
    <w:rsid w:val="68A869C0"/>
    <w:rsid w:val="69154DF6"/>
    <w:rsid w:val="69D4612E"/>
    <w:rsid w:val="6C6B28EF"/>
    <w:rsid w:val="6CE56B84"/>
    <w:rsid w:val="6DC1541F"/>
    <w:rsid w:val="6DC75274"/>
    <w:rsid w:val="6E21673D"/>
    <w:rsid w:val="6E9431F9"/>
    <w:rsid w:val="718F3E5B"/>
    <w:rsid w:val="71D2364B"/>
    <w:rsid w:val="71EB4575"/>
    <w:rsid w:val="75602922"/>
    <w:rsid w:val="75BF293C"/>
    <w:rsid w:val="76617F46"/>
    <w:rsid w:val="782A2DB5"/>
    <w:rsid w:val="789C3FEE"/>
    <w:rsid w:val="7A327907"/>
    <w:rsid w:val="7A8E0021"/>
    <w:rsid w:val="7CB31F25"/>
    <w:rsid w:val="7D5D6B3A"/>
    <w:rsid w:val="7DE5359B"/>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semiHidden="0"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semiHidden="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link w:val="24"/>
    <w:qFormat/>
    <w:uiPriority w:val="0"/>
    <w:pPr>
      <w:keepNext/>
      <w:keepLines/>
      <w:pageBreakBefore/>
      <w:numPr>
        <w:ilvl w:val="0"/>
        <w:numId w:val="1"/>
      </w:numPr>
      <w:spacing w:before="240" w:after="240" w:line="360" w:lineRule="auto"/>
      <w:jc w:val="left"/>
      <w:outlineLvl w:val="0"/>
    </w:pPr>
    <w:rPr>
      <w:rFonts w:ascii="微软雅黑" w:hAnsi="微软雅黑" w:eastAsia="微软雅黑" w:cs="Arial"/>
      <w:b/>
      <w:sz w:val="32"/>
      <w:szCs w:val="32"/>
    </w:rPr>
  </w:style>
  <w:style w:type="paragraph" w:styleId="3">
    <w:name w:val="heading 2"/>
    <w:basedOn w:val="1"/>
    <w:next w:val="1"/>
    <w:link w:val="25"/>
    <w:qFormat/>
    <w:uiPriority w:val="0"/>
    <w:pPr>
      <w:keepNext/>
      <w:keepLines/>
      <w:widowControl/>
      <w:spacing w:before="240" w:afterLines="100" w:line="360" w:lineRule="auto"/>
      <w:outlineLvl w:val="1"/>
    </w:pPr>
    <w:rPr>
      <w:rFonts w:ascii="Arial" w:hAnsi="Arial" w:cs="Times New Roman"/>
      <w:b/>
      <w:bCs/>
      <w:sz w:val="28"/>
      <w:szCs w:val="28"/>
    </w:rPr>
  </w:style>
  <w:style w:type="paragraph" w:styleId="4">
    <w:name w:val="heading 3"/>
    <w:basedOn w:val="1"/>
    <w:next w:val="1"/>
    <w:link w:val="26"/>
    <w:qFormat/>
    <w:uiPriority w:val="0"/>
    <w:pPr>
      <w:keepNext/>
      <w:keepLines/>
      <w:autoSpaceDE w:val="0"/>
      <w:autoSpaceDN w:val="0"/>
      <w:snapToGrid w:val="0"/>
      <w:spacing w:before="260" w:after="260" w:line="416" w:lineRule="atLeast"/>
      <w:ind w:firstLine="624"/>
      <w:outlineLvl w:val="2"/>
    </w:pPr>
    <w:rPr>
      <w:rFonts w:ascii="Times New Roman" w:hAnsi="Times New Roman" w:eastAsia="方正仿宋_GBK" w:cs="Times New Roman"/>
      <w:b/>
      <w:bCs/>
      <w:snapToGrid w:val="0"/>
      <w:kern w:val="0"/>
      <w:sz w:val="32"/>
      <w:szCs w:val="32"/>
    </w:rPr>
  </w:style>
  <w:style w:type="character" w:default="1" w:styleId="12">
    <w:name w:val="Default Paragraph Font"/>
    <w:unhideWhenUsed/>
    <w:uiPriority w:val="1"/>
  </w:style>
  <w:style w:type="table" w:default="1" w:styleId="15">
    <w:name w:val="Normal Table"/>
    <w:unhideWhenUsed/>
    <w:uiPriority w:val="99"/>
    <w:tblPr>
      <w:tblStyle w:val="15"/>
      <w:tblLayout w:type="fixed"/>
      <w:tblCellMar>
        <w:top w:w="0" w:type="dxa"/>
        <w:left w:w="108" w:type="dxa"/>
        <w:bottom w:w="0" w:type="dxa"/>
        <w:right w:w="108" w:type="dxa"/>
      </w:tblCellMar>
    </w:tblPr>
    <w:tcPr>
      <w:textDirection w:val="lrTb"/>
    </w:tcPr>
  </w:style>
  <w:style w:type="paragraph" w:styleId="5">
    <w:name w:val="toc 3"/>
    <w:basedOn w:val="1"/>
    <w:next w:val="1"/>
    <w:unhideWhenUsed/>
    <w:qFormat/>
    <w:uiPriority w:val="39"/>
    <w:pPr>
      <w:widowControl/>
      <w:spacing w:after="100" w:line="276" w:lineRule="auto"/>
      <w:ind w:left="440"/>
      <w:jc w:val="left"/>
    </w:pPr>
    <w:rPr>
      <w:kern w:val="0"/>
      <w:sz w:val="22"/>
    </w:rPr>
  </w:style>
  <w:style w:type="paragraph" w:styleId="6">
    <w:name w:val="Balloon Text"/>
    <w:basedOn w:val="1"/>
    <w:link w:val="23"/>
    <w:unhideWhenUsed/>
    <w:uiPriority w:val="99"/>
    <w:rPr>
      <w:sz w:val="18"/>
      <w:szCs w:val="18"/>
    </w:rPr>
  </w:style>
  <w:style w:type="paragraph" w:styleId="7">
    <w:name w:val="footer"/>
    <w:basedOn w:val="1"/>
    <w:link w:val="28"/>
    <w:unhideWhenUsed/>
    <w:uiPriority w:val="99"/>
    <w:pPr>
      <w:tabs>
        <w:tab w:val="center" w:pos="4153"/>
        <w:tab w:val="right" w:pos="8306"/>
      </w:tabs>
      <w:snapToGrid w:val="0"/>
      <w:jc w:val="left"/>
    </w:pPr>
    <w:rPr>
      <w:sz w:val="18"/>
      <w:szCs w:val="18"/>
    </w:rPr>
  </w:style>
  <w:style w:type="paragraph" w:styleId="8">
    <w:name w:val="header"/>
    <w:basedOn w:val="1"/>
    <w:link w:val="27"/>
    <w:unhideWhenUsed/>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tabs>
        <w:tab w:val="left" w:pos="440"/>
        <w:tab w:val="right" w:leader="dot" w:pos="8296"/>
      </w:tabs>
      <w:spacing w:after="100" w:line="276" w:lineRule="auto"/>
      <w:jc w:val="left"/>
    </w:pPr>
    <w:rPr>
      <w:b/>
      <w:kern w:val="0"/>
      <w:sz w:val="28"/>
      <w:szCs w:val="28"/>
    </w:rPr>
  </w:style>
  <w:style w:type="paragraph" w:styleId="10">
    <w:name w:val="toc 2"/>
    <w:basedOn w:val="1"/>
    <w:next w:val="1"/>
    <w:unhideWhenUsed/>
    <w:qFormat/>
    <w:uiPriority w:val="39"/>
    <w:pPr>
      <w:widowControl/>
      <w:spacing w:after="100" w:line="276" w:lineRule="auto"/>
      <w:ind w:left="220"/>
      <w:jc w:val="left"/>
    </w:pPr>
    <w:rPr>
      <w:kern w:val="0"/>
      <w:sz w:val="22"/>
    </w:rPr>
  </w:style>
  <w:style w:type="paragraph" w:styleId="11">
    <w:name w:val="Normal (Web)"/>
    <w:basedOn w:val="1"/>
    <w:unhideWhenUsed/>
    <w:uiPriority w:val="0"/>
    <w:rPr>
      <w:sz w:val="24"/>
    </w:rPr>
  </w:style>
  <w:style w:type="character" w:styleId="13">
    <w:name w:val="page number"/>
    <w:basedOn w:val="12"/>
    <w:unhideWhenUsed/>
    <w:uiPriority w:val="0"/>
    <w:rPr/>
  </w:style>
  <w:style w:type="character" w:styleId="14">
    <w:name w:val="Hyperlink"/>
    <w:unhideWhenUsed/>
    <w:uiPriority w:val="99"/>
    <w:rPr>
      <w:color w:val="0000FF"/>
      <w:u w:val="single"/>
    </w:rPr>
  </w:style>
  <w:style w:type="paragraph" w:customStyle="1" w:styleId="16">
    <w:name w:val="列出段落1"/>
    <w:basedOn w:val="1"/>
    <w:qFormat/>
    <w:uiPriority w:val="34"/>
    <w:pPr>
      <w:ind w:firstLine="420" w:firstLineChars="200"/>
    </w:pPr>
  </w:style>
  <w:style w:type="paragraph" w:customStyle="1" w:styleId="17">
    <w:name w:val="HPC正文"/>
    <w:basedOn w:val="1"/>
    <w:qFormat/>
    <w:uiPriority w:val="0"/>
    <w:pPr>
      <w:spacing w:line="360" w:lineRule="auto"/>
      <w:ind w:firstLine="424" w:firstLineChars="202"/>
    </w:pPr>
    <w:rPr>
      <w:rFonts w:ascii="Times New Roman" w:hAnsi="Times New Roman" w:cs="Times New Roman"/>
      <w:szCs w:val="21"/>
    </w:rPr>
  </w:style>
  <w:style w:type="paragraph" w:customStyle="1" w:styleId="18">
    <w:name w:val="列出段落11"/>
    <w:basedOn w:val="1"/>
    <w:uiPriority w:val="0"/>
    <w:pPr>
      <w:ind w:firstLine="420" w:firstLineChars="200"/>
    </w:pPr>
    <w:rPr>
      <w:rFonts w:cs="Times New Roman"/>
    </w:rPr>
  </w:style>
  <w:style w:type="paragraph" w:customStyle="1" w:styleId="19">
    <w:name w:val="HPC符1"/>
    <w:basedOn w:val="17"/>
    <w:qFormat/>
    <w:uiPriority w:val="0"/>
    <w:pPr>
      <w:numPr>
        <w:ilvl w:val="0"/>
        <w:numId w:val="2"/>
      </w:numPr>
      <w:spacing w:before="100" w:beforeAutospacing="1" w:after="100" w:afterAutospacing="1"/>
      <w:ind w:firstLineChars="0"/>
    </w:pPr>
    <w:rPr>
      <w:szCs w:val="32"/>
    </w:rPr>
  </w:style>
  <w:style w:type="paragraph" w:customStyle="1" w:styleId="20">
    <w:name w:val="TOC 标题1"/>
    <w:basedOn w:val="2"/>
    <w:next w:val="1"/>
    <w:unhideWhenUsed/>
    <w:qFormat/>
    <w:uiPriority w:val="39"/>
    <w:pPr>
      <w:widowControl/>
      <w:numPr>
        <w:ilvl w:val="0"/>
        <w:numId w:val="0"/>
      </w:numPr>
      <w:spacing w:before="480" w:after="0" w:line="276" w:lineRule="auto"/>
      <w:outlineLvl w:val="9"/>
    </w:pPr>
    <w:rPr>
      <w:rFonts w:ascii="Cambria" w:hAnsi="Cambria" w:eastAsia="宋体" w:cs="黑体"/>
      <w:bCs/>
      <w:color w:val="365F90"/>
      <w:kern w:val="0"/>
      <w:sz w:val="28"/>
      <w:szCs w:val="28"/>
    </w:rPr>
  </w:style>
  <w:style w:type="paragraph" w:customStyle="1" w:styleId="21">
    <w:name w:val="No Spacing"/>
    <w:link w:val="29"/>
    <w:qFormat/>
    <w:uiPriority w:val="1"/>
    <w:rPr>
      <w:rFonts w:ascii="Calibri" w:hAnsi="Calibri" w:eastAsia="宋体" w:cs="Times New Roman"/>
      <w:sz w:val="22"/>
      <w:szCs w:val="22"/>
      <w:lang w:val="en-US" w:eastAsia="zh-CN" w:bidi="ar-SA"/>
    </w:rPr>
  </w:style>
  <w:style w:type="paragraph" w:customStyle="1" w:styleId="22">
    <w:name w:val="Normal"/>
    <w:uiPriority w:val="0"/>
    <w:pPr>
      <w:jc w:val="both"/>
    </w:pPr>
    <w:rPr>
      <w:rFonts w:ascii="Calibri" w:hAnsi="Calibri" w:eastAsia="宋体" w:cs="宋体"/>
      <w:kern w:val="2"/>
      <w:sz w:val="21"/>
      <w:szCs w:val="21"/>
      <w:lang w:val="en-US" w:eastAsia="zh-CN" w:bidi="ar-SA"/>
    </w:rPr>
  </w:style>
  <w:style w:type="character" w:customStyle="1" w:styleId="23">
    <w:name w:val="批注框文本 Char"/>
    <w:link w:val="6"/>
    <w:semiHidden/>
    <w:uiPriority w:val="99"/>
    <w:rPr>
      <w:sz w:val="18"/>
      <w:szCs w:val="18"/>
    </w:rPr>
  </w:style>
  <w:style w:type="character" w:customStyle="1" w:styleId="24">
    <w:name w:val="标题 1 Char"/>
    <w:link w:val="2"/>
    <w:uiPriority w:val="0"/>
    <w:rPr>
      <w:rFonts w:ascii="微软雅黑" w:hAnsi="微软雅黑" w:eastAsia="微软雅黑" w:cs="Arial"/>
      <w:b/>
      <w:sz w:val="32"/>
      <w:szCs w:val="32"/>
    </w:rPr>
  </w:style>
  <w:style w:type="character" w:customStyle="1" w:styleId="25">
    <w:name w:val="标题 2 Char"/>
    <w:link w:val="3"/>
    <w:uiPriority w:val="0"/>
    <w:rPr>
      <w:rFonts w:ascii="Arial" w:hAnsi="Arial" w:eastAsia="宋体" w:cs="Times New Roman"/>
      <w:b/>
      <w:bCs/>
      <w:sz w:val="28"/>
      <w:szCs w:val="28"/>
    </w:rPr>
  </w:style>
  <w:style w:type="character" w:customStyle="1" w:styleId="26">
    <w:name w:val="标题 3 Char"/>
    <w:link w:val="4"/>
    <w:uiPriority w:val="0"/>
    <w:rPr>
      <w:rFonts w:ascii="Times New Roman" w:hAnsi="Times New Roman" w:eastAsia="方正仿宋_GBK" w:cs="Times New Roman"/>
      <w:b/>
      <w:bCs/>
      <w:snapToGrid w:val="0"/>
      <w:kern w:val="0"/>
      <w:sz w:val="32"/>
      <w:szCs w:val="32"/>
    </w:rPr>
  </w:style>
  <w:style w:type="character" w:customStyle="1" w:styleId="27">
    <w:name w:val="页眉 Char"/>
    <w:link w:val="8"/>
    <w:uiPriority w:val="99"/>
    <w:rPr>
      <w:sz w:val="18"/>
      <w:szCs w:val="18"/>
    </w:rPr>
  </w:style>
  <w:style w:type="character" w:customStyle="1" w:styleId="28">
    <w:name w:val="页脚 Char"/>
    <w:link w:val="7"/>
    <w:uiPriority w:val="99"/>
    <w:rPr>
      <w:sz w:val="18"/>
      <w:szCs w:val="18"/>
    </w:rPr>
  </w:style>
  <w:style w:type="character" w:customStyle="1" w:styleId="29">
    <w:name w:val="无间隔 Char"/>
    <w:link w:val="21"/>
    <w:uiPriority w:val="1"/>
    <w:rPr>
      <w:rFonts w:ascii="Calibri" w:hAnsi="Calibri"/>
      <w:sz w:val="22"/>
      <w:szCs w:val="22"/>
    </w:rPr>
  </w:style>
  <w:style w:type="character" w:customStyle="1" w:styleId="30">
    <w:name w:val="font41"/>
    <w:uiPriority w:val="0"/>
    <w:rPr>
      <w:rFonts w:hint="default" w:ascii="Times New Roman" w:hAnsi="Times New Roman" w:cs="Times New Roman"/>
      <w:color w:val="0000FF"/>
      <w:sz w:val="24"/>
      <w:szCs w:val="24"/>
      <w:u w:val="none"/>
    </w:rPr>
  </w:style>
  <w:style w:type="character" w:customStyle="1" w:styleId="31">
    <w:name w:val="font31"/>
    <w:uiPriority w:val="0"/>
    <w:rPr>
      <w:rFonts w:hint="eastAsia" w:ascii="宋体" w:hAnsi="宋体" w:eastAsia="宋体" w:cs="宋体"/>
      <w:color w:val="0000FF"/>
      <w:sz w:val="24"/>
      <w:szCs w:val="24"/>
      <w:u w:val="none"/>
    </w:rPr>
  </w:style>
  <w:style w:type="character" w:customStyle="1" w:styleId="32">
    <w:name w:val="font01"/>
    <w:uiPriority w:val="0"/>
    <w:rPr>
      <w:rFonts w:hint="eastAsia" w:ascii="宋体" w:hAnsi="宋体" w:eastAsia="宋体" w:cs="宋体"/>
      <w:color w:val="000000"/>
      <w:sz w:val="24"/>
      <w:szCs w:val="24"/>
      <w:u w:val="none"/>
    </w:rPr>
  </w:style>
  <w:style w:type="character" w:customStyle="1" w:styleId="33">
    <w:name w:val="font11"/>
    <w:uiPriority w:val="0"/>
    <w:rPr>
      <w:rFonts w:hint="default" w:ascii="Times New Roman" w:hAnsi="Times New Roman" w:cs="Times New Rom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0" Type="http://schemas.openxmlformats.org/officeDocument/2006/relationships/numbering" Target="numbering.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Pages>
  <Words>1141</Words>
  <Characters>6504</Characters>
  <Lines>54</Lines>
  <Paragraphs>15</Paragraphs>
  <ScaleCrop>false</ScaleCrop>
  <LinksUpToDate>false</LinksUpToDate>
  <CharactersWithSpaces>0</CharactersWithSpaces>
  <Application>WPS Office 个人版_9.1.0.4902_{F1E327BC-269C-435d-A152-05C5408002CA}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2014-11-12T02:24:00Z</dcterms:created>
  <dc:creator>user</dc:creator>
  <cp:lastModifiedBy>user</cp:lastModifiedBy>
  <cp:lastPrinted>2014-11-12T02:24:00Z</cp:lastPrinted>
  <dcterms:modified xsi:type="dcterms:W3CDTF">2016-05-06T02:16:15Z</dcterms:modified>
  <dc:title>南通市高性能计算重点实验室</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2052-9.1.0.4902</vt:lpwstr>
  </property>
</Properties>
</file>