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南通大学食堂大米采购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08</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3</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南通大学食堂大米</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一、项目名称：南通大学食堂大米采购</w:t>
      </w:r>
    </w:p>
    <w:p>
      <w:pPr>
        <w:widowControl/>
        <w:spacing w:line="440" w:lineRule="exact"/>
        <w:ind w:firstLine="482" w:firstLineChars="200"/>
        <w:rPr>
          <w:rFonts w:hint="eastAsia" w:ascii="宋体" w:hAnsi="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3</w:t>
      </w:r>
      <w:r>
        <w:rPr>
          <w:rFonts w:hint="eastAsia" w:ascii="宋体" w:hAnsi="宋体"/>
          <w:b/>
          <w:color w:val="000000"/>
          <w:sz w:val="24"/>
        </w:rPr>
        <w:t>-0</w:t>
      </w:r>
      <w:r>
        <w:rPr>
          <w:rFonts w:hint="eastAsia" w:ascii="宋体" w:hAnsi="宋体"/>
          <w:b/>
          <w:color w:val="000000"/>
          <w:sz w:val="24"/>
          <w:lang w:val="en-US" w:eastAsia="zh-CN"/>
        </w:rPr>
        <w:t>08</w:t>
      </w:r>
      <w:bookmarkStart w:id="32" w:name="_GoBack"/>
      <w:bookmarkEnd w:id="32"/>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三、货物品名、数量及技术规格：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143.5</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 xml:space="preserve">大米（供应啬园校区、启秀校区、钟秀校区、启东校区），供应商1家；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0" w:firstLineChars="200"/>
        <w:rPr>
          <w:rFonts w:ascii="宋体" w:hAnsi="宋体" w:cs="宋体"/>
          <w:color w:val="000000"/>
          <w:sz w:val="24"/>
          <w:shd w:val="clear" w:color="auto" w:fill="FFFFFF"/>
        </w:rPr>
      </w:pP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14</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14</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bookmarkStart w:id="1" w:name="_Toc73516680"/>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b/>
          <w:bCs/>
          <w:color w:val="000000" w:themeColor="text1"/>
          <w:sz w:val="44"/>
          <w:szCs w:val="44"/>
          <w14:textFill>
            <w14:solidFill>
              <w14:schemeClr w14:val="tx1"/>
            </w14:solidFill>
          </w14:textFill>
        </w:rPr>
      </w:pPr>
    </w:p>
    <w:p>
      <w:pPr>
        <w:spacing w:line="360" w:lineRule="auto"/>
        <w:jc w:val="center"/>
        <w:rPr>
          <w:color w:val="000000" w:themeColor="text1"/>
          <w14:textFill>
            <w14:solidFill>
              <w14:schemeClr w14:val="tx1"/>
            </w14:solidFill>
          </w14:textFill>
        </w:rPr>
      </w:pPr>
      <w:r>
        <w:rPr>
          <w:rFonts w:hint="eastAsia"/>
          <w:b/>
          <w:bCs/>
          <w:color w:val="000000" w:themeColor="text1"/>
          <w:sz w:val="44"/>
          <w:szCs w:val="44"/>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w:t>
      </w:r>
      <w:r>
        <w:rPr>
          <w:rFonts w:hint="eastAsia"/>
          <w:sz w:val="24"/>
          <w:lang w:val="en-US" w:eastAsia="zh-CN"/>
        </w:rPr>
        <w:t>2</w:t>
      </w:r>
      <w:r>
        <w:rPr>
          <w:rFonts w:hint="eastAsia"/>
          <w:sz w:val="24"/>
        </w:rPr>
        <w:t>）</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hint="eastAsia" w:ascii="宋体" w:hAnsi="宋体"/>
          <w:b w:val="0"/>
          <w:bCs w:val="0"/>
          <w:color w:val="000000" w:themeColor="text1"/>
          <w14:textFill>
            <w14:solidFill>
              <w14:schemeClr w14:val="tx1"/>
            </w14:solidFill>
          </w14:textFill>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b w:val="0"/>
          <w:bCs w:val="0"/>
          <w:color w:val="000000" w:themeColor="text1"/>
          <w:sz w:val="24"/>
          <w:szCs w:val="24"/>
          <w14:textFill>
            <w14:solidFill>
              <w14:schemeClr w14:val="tx1"/>
            </w14:solidFill>
          </w14:textFill>
        </w:rPr>
        <w:t>《食品经营许可证》或《仅销售预包装食品者备案信息采集表》复印件</w:t>
      </w:r>
      <w:r>
        <w:rPr>
          <w:rFonts w:hint="eastAsia" w:ascii="宋体" w:hAnsi="宋体"/>
          <w:b w:val="0"/>
          <w:bCs w:val="0"/>
          <w:color w:val="000000" w:themeColor="text1"/>
          <w:sz w:val="24"/>
          <w:szCs w:val="24"/>
          <w:lang w:eastAsia="zh-CN"/>
          <w14:textFill>
            <w14:solidFill>
              <w14:schemeClr w14:val="tx1"/>
            </w14:solidFill>
          </w14:textFill>
        </w:rPr>
        <w:t>，生产企业提供</w:t>
      </w:r>
      <w:r>
        <w:rPr>
          <w:rFonts w:hint="eastAsia" w:ascii="宋体" w:hAnsi="宋体"/>
          <w:sz w:val="24"/>
        </w:rPr>
        <w:t>《食品生产许可证》复印件</w:t>
      </w:r>
      <w:r>
        <w:rPr>
          <w:rFonts w:hint="eastAsia" w:ascii="宋体" w:hAnsi="宋体"/>
          <w:b w:val="0"/>
          <w:bCs w:val="0"/>
          <w:color w:val="000000" w:themeColor="text1"/>
          <w:sz w:val="24"/>
          <w:szCs w:val="24"/>
          <w14:textFill>
            <w14:solidFill>
              <w14:schemeClr w14:val="tx1"/>
            </w14:solidFill>
          </w14:textFill>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（4）产品检测报告（复印件加盖单位公章）</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40分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满足招标文件要求且投标价格最低的投标报价为评标基准价，其价格分为满分，其他投标人的价格分按下列公式计算：投标报价得分＝（评标基准价/投标报价）×40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en-US" w:eastAsia="zh-CN" w:bidi="zh-TW"/>
              </w:rPr>
              <w:t>1.</w:t>
            </w: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4分）</w:t>
            </w:r>
          </w:p>
          <w:p>
            <w:pPr>
              <w:widowControl/>
              <w:spacing w:line="340" w:lineRule="exact"/>
              <w:jc w:val="left"/>
              <w:rPr>
                <w:rFonts w:ascii="宋体" w:hAnsi="宋体" w:cs="宋体"/>
                <w:color w:val="FF0000"/>
                <w:kern w:val="0"/>
                <w:szCs w:val="21"/>
              </w:rPr>
            </w:pPr>
            <w:r>
              <w:rPr>
                <w:rFonts w:hint="eastAsia" w:ascii="宋体" w:hAnsi="宋体" w:cs="宋体"/>
                <w:bCs/>
                <w:szCs w:val="21"/>
                <w:lang w:val="en-US" w:eastAsia="zh-CN"/>
              </w:rPr>
              <w:t>2.</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w:t>
            </w:r>
            <w:r>
              <w:rPr>
                <w:rFonts w:hint="eastAsia" w:ascii="宋体" w:hAnsi="宋体" w:cs="宋体"/>
                <w:bCs/>
                <w:szCs w:val="21"/>
                <w:lang w:val="en-US" w:eastAsia="zh-CN"/>
              </w:rPr>
              <w:t>1</w:t>
            </w:r>
            <w:r>
              <w:rPr>
                <w:rFonts w:hint="eastAsia" w:ascii="宋体" w:hAnsi="宋体" w:cs="宋体"/>
                <w:bCs/>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rPr>
                <w:rFonts w:hint="eastAsia" w:ascii="宋体" w:hAnsi="宋体" w:cs="宋体"/>
                <w:bCs/>
                <w:szCs w:val="21"/>
                <w:lang w:eastAsia="zh-CN"/>
              </w:rPr>
            </w:pPr>
            <w:r>
              <w:rPr>
                <w:rFonts w:hint="eastAsia" w:ascii="宋体" w:hAnsi="宋体" w:cs="宋体"/>
                <w:bCs/>
                <w:szCs w:val="21"/>
                <w:lang w:val="en-US" w:eastAsia="zh-CN"/>
              </w:rPr>
              <w:t>2020年以来，</w:t>
            </w:r>
            <w:r>
              <w:rPr>
                <w:rFonts w:hint="eastAsia" w:ascii="宋体" w:hAnsi="宋体" w:cs="宋体"/>
                <w:bCs/>
                <w:szCs w:val="21"/>
                <w:lang w:eastAsia="zh-CN"/>
              </w:rPr>
              <w:t>投标人获得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的奖项或荣誉：</w:t>
            </w:r>
            <w:r>
              <w:rPr>
                <w:rFonts w:hint="eastAsia" w:ascii="宋体" w:hAnsi="宋体"/>
                <w:szCs w:val="21"/>
              </w:rPr>
              <w:t>国家级每个得3分、省级每个得2分、（地）市级每个得1分</w:t>
            </w:r>
            <w:r>
              <w:rPr>
                <w:rFonts w:hint="eastAsia" w:ascii="宋体" w:hAnsi="宋体"/>
                <w:szCs w:val="21"/>
                <w:lang w:eastAsia="zh-CN"/>
              </w:rPr>
              <w:t>，</w:t>
            </w:r>
            <w:r>
              <w:rPr>
                <w:rFonts w:hint="eastAsia" w:ascii="宋体" w:hAnsi="宋体" w:cs="宋体"/>
                <w:bCs/>
                <w:szCs w:val="21"/>
                <w:lang w:val="en-US" w:eastAsia="zh-CN"/>
              </w:rPr>
              <w:t>最多得6分。</w:t>
            </w:r>
            <w:r>
              <w:rPr>
                <w:rFonts w:hint="eastAsia" w:ascii="宋体" w:hAnsi="宋体" w:cs="宋体"/>
                <w:bCs/>
                <w:szCs w:val="21"/>
                <w:lang w:eastAsia="zh-CN"/>
              </w:rPr>
              <w:t>（</w:t>
            </w:r>
            <w:r>
              <w:rPr>
                <w:rFonts w:hint="eastAsia" w:ascii="宋体" w:hAnsi="宋体" w:cs="宋体"/>
                <w:bCs/>
                <w:szCs w:val="21"/>
                <w:lang w:val="en-US" w:eastAsia="zh-CN"/>
              </w:rPr>
              <w:t>6</w:t>
            </w:r>
            <w:r>
              <w:rPr>
                <w:rFonts w:hint="eastAsia" w:ascii="宋体" w:hAnsi="宋体" w:cs="宋体"/>
                <w:bCs/>
                <w:szCs w:val="21"/>
              </w:rPr>
              <w:t>分</w:t>
            </w:r>
            <w:r>
              <w:rPr>
                <w:rFonts w:hint="eastAsia" w:ascii="宋体" w:hAnsi="宋体" w:cs="宋体"/>
                <w:bCs/>
                <w:szCs w:val="21"/>
                <w:lang w:eastAsia="zh-CN"/>
              </w:rPr>
              <w:t>）</w:t>
            </w:r>
          </w:p>
          <w:p>
            <w:pPr>
              <w:ind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社会公益    （4分）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cstheme="minorEastAsia"/>
                <w:color w:val="FF0000"/>
                <w:kern w:val="0"/>
                <w:szCs w:val="21"/>
              </w:rPr>
            </w:pPr>
            <w:r>
              <w:rPr>
                <w:rFonts w:hint="eastAsia" w:asciiTheme="minorEastAsia" w:hAnsiTheme="minorEastAsia" w:eastAsiaTheme="minorEastAsia" w:cstheme="minorEastAsia"/>
                <w:kern w:val="0"/>
                <w:szCs w:val="21"/>
              </w:rPr>
              <w:t>20</w:t>
            </w:r>
            <w:r>
              <w:rPr>
                <w:rFonts w:hint="eastAsia" w:asciiTheme="minorEastAsia" w:hAnsiTheme="minorEastAsia" w:eastAsiaTheme="minorEastAsia" w:cstheme="minorEastAsia"/>
                <w:kern w:val="0"/>
                <w:szCs w:val="21"/>
                <w:lang w:val="en-US" w:eastAsia="zh-CN"/>
              </w:rPr>
              <w:t>20</w:t>
            </w:r>
            <w:r>
              <w:rPr>
                <w:rFonts w:hint="eastAsia" w:asciiTheme="minorEastAsia" w:hAnsiTheme="minorEastAsia" w:eastAsiaTheme="minorEastAsia" w:cstheme="minorEastAsia"/>
                <w:kern w:val="0"/>
                <w:szCs w:val="21"/>
              </w:rPr>
              <w:t>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根据投标人提供的材料横向对比，优秀4分，良好2</w:t>
            </w:r>
            <w:r>
              <w:rPr>
                <w:rFonts w:ascii="宋体" w:hAnsi="宋体" w:cs="宋体"/>
                <w:szCs w:val="21"/>
              </w:rPr>
              <w:t>-</w:t>
            </w:r>
            <w:r>
              <w:rPr>
                <w:rFonts w:hint="eastAsia" w:ascii="宋体" w:hAnsi="宋体" w:cs="宋体"/>
                <w:szCs w:val="21"/>
              </w:rPr>
              <w:t>3分，一般1分，没有得0分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w:t>
            </w:r>
            <w:r>
              <w:rPr>
                <w:rFonts w:hint="eastAsia" w:ascii="宋体" w:hAnsi="宋体" w:cs="宋体"/>
                <w:bCs/>
                <w:szCs w:val="21"/>
                <w:lang w:eastAsia="zh-CN"/>
              </w:rPr>
              <w:t>政府、机关事业单位</w:t>
            </w:r>
            <w:r>
              <w:rPr>
                <w:rFonts w:hint="eastAsia" w:ascii="宋体" w:hAnsi="宋体" w:cs="宋体"/>
                <w:bCs/>
                <w:szCs w:val="21"/>
              </w:rPr>
              <w:t>相关</w:t>
            </w:r>
            <w:r>
              <w:rPr>
                <w:rFonts w:hint="eastAsia" w:ascii="宋体" w:hAnsi="宋体" w:cs="宋体"/>
                <w:bCs/>
                <w:szCs w:val="21"/>
                <w:lang w:eastAsia="zh-CN"/>
              </w:rPr>
              <w:t>证明</w:t>
            </w:r>
            <w:r>
              <w:rPr>
                <w:rFonts w:hint="eastAsia" w:ascii="宋体" w:hAnsi="宋体" w:cs="宋体"/>
                <w:bCs/>
                <w:szCs w:val="21"/>
              </w:rPr>
              <w:t>材料复印件，否则不得分</w:t>
            </w:r>
            <w:r>
              <w:rPr>
                <w:rFonts w:hint="eastAsia" w:ascii="宋体" w:hAnsi="宋体" w:cs="宋体"/>
                <w:bCs/>
                <w:szCs w:val="21"/>
                <w:lang w:eastAsia="zh-CN"/>
              </w:rPr>
              <w:t>，</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（10分）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eastAsia" w:ascii="宋体" w:hAnsi="宋体" w:eastAsia="宋体" w:cs="宋体"/>
                <w:szCs w:val="21"/>
                <w:lang w:eastAsia="zh-CN"/>
              </w:rPr>
            </w:pPr>
            <w:r>
              <w:rPr>
                <w:rFonts w:hint="eastAsia" w:ascii="宋体" w:hAnsi="宋体" w:cs="宋体"/>
                <w:szCs w:val="21"/>
              </w:rPr>
              <w:t>自20</w:t>
            </w:r>
            <w:r>
              <w:rPr>
                <w:rFonts w:hint="eastAsia" w:ascii="宋体" w:hAnsi="宋体" w:cs="宋体"/>
                <w:szCs w:val="21"/>
                <w:lang w:val="en-US" w:eastAsia="zh-CN"/>
              </w:rPr>
              <w:t>20</w:t>
            </w:r>
            <w:r>
              <w:rPr>
                <w:rFonts w:hint="eastAsia" w:ascii="宋体" w:hAnsi="宋体" w:cs="宋体"/>
                <w:szCs w:val="21"/>
              </w:rPr>
              <w:t>年1月1日以来（以合同签订时间为准），完成类似服务项目业绩，同一单位</w:t>
            </w:r>
            <w:r>
              <w:rPr>
                <w:rFonts w:hint="eastAsia" w:ascii="宋体" w:hAnsi="宋体" w:cs="宋体"/>
                <w:color w:val="auto"/>
                <w:szCs w:val="21"/>
              </w:rPr>
              <w:t>一年供货量在10吨至50吨（含）的得0.5分、50吨至100吨（含）的得1分、100吨以上的得2分；同一单位不同年度不重复计分。</w:t>
            </w:r>
            <w:r>
              <w:rPr>
                <w:rFonts w:hint="eastAsia" w:asciiTheme="majorEastAsia" w:hAnsiTheme="majorEastAsia" w:eastAsiaTheme="majorEastAsia"/>
                <w:color w:val="auto"/>
              </w:rPr>
              <w:t>提供合同复印件、服务单位盖章的意见反馈证明及合同对应销售额90%的发</w:t>
            </w:r>
            <w:r>
              <w:rPr>
                <w:rFonts w:hint="eastAsia" w:asciiTheme="majorEastAsia" w:hAnsiTheme="majorEastAsia" w:eastAsiaTheme="majorEastAsia"/>
              </w:rPr>
              <w:t>票复印件，缺一项不得分</w:t>
            </w:r>
            <w:r>
              <w:rPr>
                <w:rFonts w:hint="eastAsia" w:asciiTheme="majorEastAsia" w:hAnsiTheme="majorEastAsia" w:eastAsiaTheme="majorEastAsia"/>
                <w:lang w:eastAsia="zh-CN"/>
              </w:rPr>
              <w:t>。</w:t>
            </w:r>
            <w:r>
              <w:rPr>
                <w:rFonts w:hint="eastAsia" w:ascii="宋体" w:hAnsi="宋体" w:cs="宋体"/>
                <w:szCs w:val="21"/>
              </w:rPr>
              <w:t>（10分）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1.管理方案和举措（含食材卫生安全保障机制、质量保障机制、配送业务操作流程等）根据投标人提供的材料横向对比，优秀6-8分，良好3-5分，一般1-2分；（8分）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w:t>
            </w:r>
            <w:r>
              <w:rPr>
                <w:rFonts w:hint="eastAsia" w:ascii="宋体" w:hAnsi="宋体" w:cs="宋体"/>
                <w:szCs w:val="21"/>
                <w:lang w:eastAsia="zh-CN"/>
              </w:rPr>
              <w:t>不</w:t>
            </w:r>
            <w:r>
              <w:rPr>
                <w:rFonts w:hint="eastAsia" w:ascii="宋体" w:hAnsi="宋体" w:cs="宋体"/>
                <w:szCs w:val="21"/>
              </w:rPr>
              <w:t>得分；</w:t>
            </w:r>
            <w:r>
              <w:rPr>
                <w:rFonts w:hint="eastAsia" w:ascii="宋体" w:hAnsi="宋体" w:cs="宋体"/>
                <w:szCs w:val="21"/>
                <w:lang w:eastAsia="zh-CN"/>
              </w:rPr>
              <w:t>（</w:t>
            </w:r>
            <w:r>
              <w:rPr>
                <w:rFonts w:hint="eastAsia" w:ascii="宋体" w:hAnsi="宋体" w:cs="宋体"/>
                <w:szCs w:val="21"/>
                <w:lang w:val="en-US" w:eastAsia="zh-CN"/>
              </w:rPr>
              <w:t>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（8分）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FF0000"/>
                <w:kern w:val="0"/>
                <w:szCs w:val="21"/>
              </w:rPr>
            </w:pPr>
            <w:r>
              <w:rPr>
                <w:rFonts w:hint="eastAsia" w:ascii="宋体" w:hAnsi="宋体" w:cs="宋体"/>
                <w:color w:val="auto"/>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8分， 600平方米（含）至800平方米</w:t>
            </w:r>
            <w:r>
              <w:rPr>
                <w:rFonts w:hint="eastAsia" w:ascii="宋体" w:hAnsi="宋体" w:cs="宋体"/>
                <w:bCs/>
                <w:color w:val="auto"/>
                <w:szCs w:val="21"/>
              </w:rPr>
              <w:t>得6</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得4</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不得分。（8分）</w:t>
            </w:r>
          </w:p>
          <w:p>
            <w:pPr>
              <w:widowControl/>
              <w:spacing w:line="340" w:lineRule="exact"/>
              <w:jc w:val="left"/>
              <w:rPr>
                <w:rFonts w:hint="eastAsia" w:eastAsia="宋体" w:asciiTheme="minorEastAsia" w:hAnsiTheme="minorEastAsia" w:cstheme="minorEastAsia"/>
                <w:color w:val="000000" w:themeColor="text1"/>
                <w:kern w:val="0"/>
                <w:szCs w:val="21"/>
                <w:lang w:eastAsia="zh-CN"/>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000000"/>
                <w:kern w:val="0"/>
                <w:szCs w:val="21"/>
                <w:lang w:eastAsia="zh-CN"/>
              </w:rPr>
              <w:t>，原件备查。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szCs w:val="21"/>
              </w:rPr>
            </w:pPr>
            <w:r>
              <w:rPr>
                <w:rFonts w:hint="eastAsia" w:ascii="宋体" w:hAnsi="宋体" w:cs="宋体"/>
                <w:szCs w:val="21"/>
              </w:rPr>
              <w:t>投标人每提供一辆自有运输车得3分，提供一辆租赁运输车得</w:t>
            </w:r>
            <w:r>
              <w:rPr>
                <w:rFonts w:ascii="宋体" w:hAnsi="宋体" w:cs="宋体"/>
                <w:color w:val="auto"/>
                <w:szCs w:val="21"/>
              </w:rPr>
              <w:t>1</w:t>
            </w:r>
            <w:r>
              <w:rPr>
                <w:rFonts w:hint="eastAsia" w:ascii="宋体" w:hAnsi="宋体" w:cs="宋体"/>
                <w:color w:val="auto"/>
                <w:szCs w:val="21"/>
              </w:rPr>
              <w:t>分，租赁车辆最多得</w:t>
            </w:r>
            <w:r>
              <w:rPr>
                <w:rFonts w:ascii="宋体" w:hAnsi="宋体" w:cs="宋体"/>
                <w:color w:val="auto"/>
                <w:szCs w:val="21"/>
              </w:rPr>
              <w:t>2</w:t>
            </w:r>
            <w:r>
              <w:rPr>
                <w:rFonts w:hint="eastAsia" w:ascii="宋体" w:hAnsi="宋体" w:cs="宋体"/>
                <w:color w:val="auto"/>
                <w:szCs w:val="21"/>
              </w:rPr>
              <w:t>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注：须提供相关证明材料（自有车辆所有人为投标单位，提供运输车辆行驶证复印件及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szCs w:val="21"/>
                <w:lang w:eastAsia="zh-CN"/>
              </w:rPr>
              <w:t>，</w:t>
            </w:r>
            <w:r>
              <w:rPr>
                <w:rFonts w:hint="eastAsia" w:ascii="宋体" w:hAnsi="宋体" w:cs="宋体"/>
                <w:color w:val="000000"/>
                <w:kern w:val="0"/>
                <w:szCs w:val="21"/>
                <w:lang w:eastAsia="zh-CN"/>
              </w:rPr>
              <w:t>原件备查</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szCs w:val="21"/>
              </w:rPr>
            </w:pPr>
            <w:r>
              <w:rPr>
                <w:rFonts w:hint="eastAsia" w:ascii="宋体" w:hAnsi="宋体" w:cs="宋体"/>
                <w:b/>
                <w:bCs/>
                <w:szCs w:val="21"/>
              </w:rPr>
              <w:t>提供原包装样品1件（50斤/袋）</w:t>
            </w:r>
            <w:r>
              <w:rPr>
                <w:rFonts w:hint="eastAsia" w:ascii="宋体" w:hAnsi="宋体" w:cs="宋体"/>
                <w:bCs/>
                <w:szCs w:val="21"/>
              </w:rPr>
              <w:t>，横向</w:t>
            </w:r>
            <w:r>
              <w:rPr>
                <w:rFonts w:hint="eastAsia" w:ascii="宋体" w:hAnsi="宋体" w:cs="宋体"/>
                <w:szCs w:val="21"/>
              </w:rPr>
              <w:t>对比优秀得4-5分，良好得2-3分，一般得1分，没有不得分。（5分）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p>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得分最高且排名第一的投标人将被推荐为中标候选人或者直接被确定为中标人。得分相同的，按投标报价由低到高顺序排列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jc w:val="center"/>
        <w:rPr>
          <w:color w:val="000000" w:themeColor="text1"/>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sz w:val="44"/>
          <w:szCs w:val="44"/>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1.大米符合国家GB/T 1354-2018一级粳米标准；</w:t>
      </w:r>
    </w:p>
    <w:p>
      <w:pPr>
        <w:spacing w:line="440" w:lineRule="exact"/>
        <w:ind w:firstLine="480" w:firstLineChars="200"/>
        <w:rPr>
          <w:rFonts w:ascii="宋体" w:hAnsi="宋体" w:cs="宋体"/>
          <w:kern w:val="0"/>
          <w:sz w:val="24"/>
        </w:rPr>
      </w:pPr>
      <w:r>
        <w:rPr>
          <w:rFonts w:hint="eastAsia" w:ascii="宋体" w:hAnsi="宋体" w:cs="宋体"/>
          <w:kern w:val="0"/>
          <w:sz w:val="24"/>
        </w:rPr>
        <w:t>2.包装上标明品名、厂名、质量等级、重量、生产日期、保质期或保存期、“SC”食品生产许可证编号等执行标准，</w:t>
      </w:r>
      <w:r>
        <w:rPr>
          <w:rFonts w:asciiTheme="minorEastAsia" w:hAnsiTheme="minorEastAsia" w:eastAsiaTheme="minorEastAsia"/>
          <w:sz w:val="24"/>
        </w:rPr>
        <w:t>供货时的剩余保质期不少于三分之二</w:t>
      </w:r>
      <w:r>
        <w:rPr>
          <w:rFonts w:hint="eastAsia" w:ascii="宋体" w:hAnsi="宋体" w:cs="宋体"/>
          <w:kern w:val="0"/>
          <w:sz w:val="24"/>
        </w:rPr>
        <w:t>；</w:t>
      </w:r>
    </w:p>
    <w:p>
      <w:pPr>
        <w:spacing w:line="440" w:lineRule="exact"/>
        <w:ind w:firstLine="480" w:firstLineChars="200"/>
        <w:rPr>
          <w:rFonts w:ascii="宋体" w:hAnsi="宋体" w:cs="宋体"/>
          <w:kern w:val="0"/>
          <w:sz w:val="24"/>
        </w:rPr>
      </w:pPr>
      <w:r>
        <w:rPr>
          <w:rFonts w:hint="eastAsia" w:ascii="宋体" w:hAnsi="宋体" w:cs="宋体"/>
          <w:kern w:val="0"/>
          <w:sz w:val="24"/>
        </w:rPr>
        <w:t>3.具有固有色泽和香味，无污染、无虫害，色泽、气味、口味正常，无异味或霉味（霉变），无虫蛀结块挂丝或杂质异物等；</w:t>
      </w:r>
    </w:p>
    <w:p>
      <w:pPr>
        <w:spacing w:line="440" w:lineRule="exact"/>
        <w:ind w:firstLine="480" w:firstLineChars="200"/>
        <w:rPr>
          <w:rFonts w:ascii="宋体" w:hAnsi="宋体" w:cs="宋体"/>
          <w:kern w:val="0"/>
          <w:sz w:val="24"/>
        </w:rPr>
      </w:pPr>
      <w:r>
        <w:rPr>
          <w:rFonts w:hint="eastAsia" w:ascii="宋体" w:hAnsi="宋体" w:cs="宋体"/>
          <w:kern w:val="0"/>
          <w:sz w:val="24"/>
        </w:rPr>
        <w:t>4.所供每批次产品必须出具产品合格证。</w:t>
      </w:r>
    </w:p>
    <w:p>
      <w:pPr>
        <w:spacing w:line="440" w:lineRule="exact"/>
        <w:ind w:firstLine="480" w:firstLineChars="200"/>
        <w:rPr>
          <w:rFonts w:ascii="宋体" w:hAnsi="宋体" w:cs="宋体"/>
          <w:sz w:val="24"/>
        </w:rPr>
      </w:pPr>
      <w:r>
        <w:rPr>
          <w:rFonts w:hint="eastAsia" w:ascii="宋体" w:hAnsi="宋体" w:cs="宋体"/>
          <w:sz w:val="24"/>
        </w:rPr>
        <w:t>5.2021年产粳稻，按GB/T1354-2018标准，符合晚粳米标准一等质量指标（见下表）。</w:t>
      </w:r>
    </w:p>
    <w:p>
      <w:pPr>
        <w:widowControl/>
        <w:wordWrap w:val="0"/>
        <w:snapToGrid w:val="0"/>
        <w:jc w:val="center"/>
        <w:rPr>
          <w:rFonts w:ascii="楷体" w:hAnsi="宋体" w:eastAsia="楷体" w:cs="宋体"/>
          <w:kern w:val="0"/>
          <w:szCs w:val="21"/>
        </w:rPr>
      </w:pPr>
      <w:r>
        <w:rPr>
          <w:rFonts w:ascii="宋体" w:hAnsi="宋体"/>
          <w:b/>
          <w:bCs/>
          <w:color w:val="000000"/>
          <w:kern w:val="0"/>
          <w:sz w:val="24"/>
        </w:rPr>
        <w:t>粳稻谷质量指标</w:t>
      </w:r>
    </w:p>
    <w:tbl>
      <w:tblPr>
        <w:tblStyle w:val="27"/>
        <w:tblW w:w="9434" w:type="dxa"/>
        <w:tblInd w:w="250" w:type="dxa"/>
        <w:tblLayout w:type="fixed"/>
        <w:tblCellMar>
          <w:top w:w="0" w:type="dxa"/>
          <w:left w:w="108" w:type="dxa"/>
          <w:bottom w:w="0" w:type="dxa"/>
          <w:right w:w="108" w:type="dxa"/>
        </w:tblCellMar>
      </w:tblPr>
      <w:tblGrid>
        <w:gridCol w:w="869"/>
        <w:gridCol w:w="1020"/>
        <w:gridCol w:w="1215"/>
        <w:gridCol w:w="855"/>
        <w:gridCol w:w="795"/>
        <w:gridCol w:w="1065"/>
        <w:gridCol w:w="1305"/>
        <w:gridCol w:w="1110"/>
        <w:gridCol w:w="1200"/>
      </w:tblGrid>
      <w:tr>
        <w:tblPrEx>
          <w:tblCellMar>
            <w:top w:w="0" w:type="dxa"/>
            <w:left w:w="108" w:type="dxa"/>
            <w:bottom w:w="0" w:type="dxa"/>
            <w:right w:w="108" w:type="dxa"/>
          </w:tblCellMar>
        </w:tblPrEx>
        <w:trPr>
          <w:trHeight w:val="660" w:hRule="atLeast"/>
        </w:trPr>
        <w:tc>
          <w:tcPr>
            <w:tcW w:w="869" w:type="dxa"/>
            <w:tcBorders>
              <w:top w:val="single" w:color="000000" w:sz="4" w:space="0"/>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等级</w:t>
            </w:r>
          </w:p>
        </w:tc>
        <w:tc>
          <w:tcPr>
            <w:tcW w:w="1020"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出糙率</w:t>
            </w:r>
            <w:r>
              <w:rPr>
                <w:rFonts w:hint="eastAsia" w:ascii="宋体" w:hAnsi="宋体" w:cs="宋体"/>
                <w:color w:val="000000"/>
                <w:kern w:val="0"/>
                <w:sz w:val="24"/>
              </w:rPr>
              <w:t>/%</w:t>
            </w:r>
          </w:p>
        </w:tc>
        <w:tc>
          <w:tcPr>
            <w:tcW w:w="121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整精米率</w:t>
            </w:r>
            <w:r>
              <w:rPr>
                <w:rFonts w:hint="eastAsia"/>
                <w:color w:val="000000"/>
                <w:kern w:val="0"/>
                <w:sz w:val="24"/>
              </w:rPr>
              <w:t>/%</w:t>
            </w:r>
          </w:p>
        </w:tc>
        <w:tc>
          <w:tcPr>
            <w:tcW w:w="85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杂质</w:t>
            </w:r>
            <w:r>
              <w:rPr>
                <w:rFonts w:hint="eastAsia"/>
                <w:color w:val="000000"/>
                <w:kern w:val="0"/>
                <w:sz w:val="24"/>
              </w:rPr>
              <w:t>/%</w:t>
            </w:r>
          </w:p>
        </w:tc>
        <w:tc>
          <w:tcPr>
            <w:tcW w:w="79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水分</w:t>
            </w:r>
            <w:r>
              <w:rPr>
                <w:rFonts w:hint="eastAsia" w:ascii="宋体" w:hAnsi="宋体" w:cs="宋体"/>
                <w:color w:val="000000"/>
                <w:kern w:val="0"/>
                <w:sz w:val="24"/>
              </w:rPr>
              <w:t>/%</w:t>
            </w:r>
          </w:p>
        </w:tc>
        <w:tc>
          <w:tcPr>
            <w:tcW w:w="106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黄粒米</w:t>
            </w:r>
            <w:r>
              <w:rPr>
                <w:rFonts w:hint="eastAsia"/>
                <w:color w:val="000000"/>
                <w:kern w:val="0"/>
                <w:sz w:val="24"/>
              </w:rPr>
              <w:t>/%</w:t>
            </w:r>
          </w:p>
        </w:tc>
        <w:tc>
          <w:tcPr>
            <w:tcW w:w="1305"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谷外糙米</w:t>
            </w:r>
            <w:r>
              <w:rPr>
                <w:rFonts w:hint="eastAsia"/>
                <w:color w:val="000000"/>
                <w:kern w:val="0"/>
                <w:sz w:val="24"/>
              </w:rPr>
              <w:t>/%</w:t>
            </w:r>
          </w:p>
        </w:tc>
        <w:tc>
          <w:tcPr>
            <w:tcW w:w="1110"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互混率</w:t>
            </w:r>
            <w:r>
              <w:rPr>
                <w:rFonts w:hint="eastAsia"/>
                <w:color w:val="000000"/>
                <w:kern w:val="0"/>
                <w:sz w:val="24"/>
              </w:rPr>
              <w:t>/%</w:t>
            </w:r>
          </w:p>
        </w:tc>
        <w:tc>
          <w:tcPr>
            <w:tcW w:w="1200" w:type="dxa"/>
            <w:tcBorders>
              <w:top w:val="single" w:color="000000" w:sz="4" w:space="0"/>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色泽气味</w:t>
            </w: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1</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≥81.0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≥61.0</w:t>
            </w:r>
          </w:p>
        </w:tc>
        <w:tc>
          <w:tcPr>
            <w:tcW w:w="85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≤1.0</w:t>
            </w:r>
          </w:p>
        </w:tc>
        <w:tc>
          <w:tcPr>
            <w:tcW w:w="79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≤14.5</w:t>
            </w:r>
          </w:p>
        </w:tc>
        <w:tc>
          <w:tcPr>
            <w:tcW w:w="106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≤1.0</w:t>
            </w:r>
          </w:p>
        </w:tc>
        <w:tc>
          <w:tcPr>
            <w:tcW w:w="1305"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≤2.0</w:t>
            </w:r>
          </w:p>
        </w:tc>
        <w:tc>
          <w:tcPr>
            <w:tcW w:w="1110"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kern w:val="0"/>
                <w:sz w:val="24"/>
              </w:rPr>
              <w:t>≤5.0</w:t>
            </w:r>
          </w:p>
        </w:tc>
        <w:tc>
          <w:tcPr>
            <w:tcW w:w="1200" w:type="dxa"/>
            <w:vMerge w:val="restart"/>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正常</w:t>
            </w: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2</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≥79.0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≥58.0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3</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≥77.0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≥55.0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4</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≥75.0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≥52.0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5</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≥73.0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≥49.0</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869" w:type="dxa"/>
            <w:tcBorders>
              <w:top w:val="nil"/>
              <w:left w:val="single" w:color="000000" w:sz="4" w:space="0"/>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等外</w:t>
            </w:r>
          </w:p>
        </w:tc>
        <w:tc>
          <w:tcPr>
            <w:tcW w:w="1020"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hint="eastAsia" w:ascii="宋体" w:hAnsi="宋体" w:cs="宋体"/>
                <w:color w:val="000000"/>
                <w:kern w:val="0"/>
                <w:sz w:val="24"/>
              </w:rPr>
              <w:t>&lt;73.0</w:t>
            </w:r>
          </w:p>
        </w:tc>
        <w:tc>
          <w:tcPr>
            <w:tcW w:w="1215" w:type="dxa"/>
            <w:tcBorders>
              <w:top w:val="nil"/>
              <w:left w:val="nil"/>
              <w:bottom w:val="single" w:color="000000" w:sz="4" w:space="0"/>
              <w:right w:val="single" w:color="000000" w:sz="4" w:space="0"/>
            </w:tcBorders>
            <w:vAlign w:val="center"/>
          </w:tcPr>
          <w:p>
            <w:pPr>
              <w:widowControl/>
              <w:wordWrap w:val="0"/>
              <w:jc w:val="center"/>
              <w:rPr>
                <w:rFonts w:ascii="楷体" w:hAnsi="宋体" w:eastAsia="楷体" w:cs="宋体"/>
                <w:kern w:val="0"/>
                <w:sz w:val="24"/>
              </w:rPr>
            </w:pPr>
            <w:r>
              <w:rPr>
                <w:rFonts w:eastAsia="楷体"/>
                <w:color w:val="000000"/>
                <w:kern w:val="0"/>
                <w:sz w:val="24"/>
              </w:rPr>
              <w:t>—</w:t>
            </w:r>
          </w:p>
        </w:tc>
        <w:tc>
          <w:tcPr>
            <w:tcW w:w="85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79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06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305"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11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c>
          <w:tcPr>
            <w:tcW w:w="1200" w:type="dxa"/>
            <w:vMerge w:val="continue"/>
            <w:tcBorders>
              <w:top w:val="nil"/>
              <w:left w:val="nil"/>
              <w:bottom w:val="single" w:color="000000" w:sz="4" w:space="0"/>
              <w:right w:val="single" w:color="000000" w:sz="4" w:space="0"/>
            </w:tcBorders>
            <w:vAlign w:val="center"/>
          </w:tcPr>
          <w:p>
            <w:pPr>
              <w:widowControl/>
              <w:jc w:val="left"/>
              <w:rPr>
                <w:rFonts w:ascii="楷体" w:hAnsi="宋体" w:eastAsia="楷体" w:cs="宋体"/>
                <w:kern w:val="0"/>
                <w:sz w:val="24"/>
              </w:rPr>
            </w:pPr>
          </w:p>
        </w:tc>
      </w:tr>
      <w:tr>
        <w:tblPrEx>
          <w:tblCellMar>
            <w:top w:w="0" w:type="dxa"/>
            <w:left w:w="108" w:type="dxa"/>
            <w:bottom w:w="0" w:type="dxa"/>
            <w:right w:w="108" w:type="dxa"/>
          </w:tblCellMar>
        </w:tblPrEx>
        <w:trPr>
          <w:trHeight w:val="348" w:hRule="atLeast"/>
        </w:trPr>
        <w:tc>
          <w:tcPr>
            <w:tcW w:w="9434" w:type="dxa"/>
            <w:gridSpan w:val="9"/>
            <w:tcBorders>
              <w:top w:val="nil"/>
              <w:left w:val="single" w:color="000000" w:sz="4" w:space="0"/>
              <w:bottom w:val="single" w:color="000000" w:sz="4" w:space="0"/>
              <w:right w:val="single" w:color="000000" w:sz="4" w:space="0"/>
            </w:tcBorders>
            <w:vAlign w:val="center"/>
          </w:tcPr>
          <w:p>
            <w:pPr>
              <w:widowControl/>
              <w:wordWrap w:val="0"/>
              <w:jc w:val="left"/>
              <w:rPr>
                <w:rFonts w:ascii="楷体" w:hAnsi="宋体" w:eastAsia="楷体" w:cs="宋体"/>
                <w:kern w:val="0"/>
                <w:sz w:val="24"/>
              </w:rPr>
            </w:pPr>
            <w:r>
              <w:rPr>
                <w:rFonts w:eastAsia="楷体"/>
                <w:color w:val="000000"/>
                <w:kern w:val="0"/>
                <w:sz w:val="24"/>
              </w:rPr>
              <w:t>注：“—”</w:t>
            </w:r>
            <w:r>
              <w:rPr>
                <w:rFonts w:ascii="宋体" w:hAnsi="宋体"/>
                <w:color w:val="000000"/>
                <w:kern w:val="0"/>
                <w:sz w:val="24"/>
              </w:rPr>
              <w:t>为不要求。</w:t>
            </w:r>
          </w:p>
        </w:tc>
      </w:tr>
    </w:tbl>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1.投标人在递交投标书的同时，须提供原包装样品，大米1袋（50斤）。中标</w:t>
      </w:r>
      <w:r>
        <w:rPr>
          <w:rFonts w:hint="eastAsia" w:ascii="宋体" w:hAnsi="宋体" w:cs="宋体"/>
          <w:kern w:val="0"/>
          <w:sz w:val="24"/>
          <w:lang w:eastAsia="zh-CN"/>
        </w:rPr>
        <w:t>单位样品</w:t>
      </w:r>
      <w:r>
        <w:rPr>
          <w:rFonts w:hint="eastAsia" w:ascii="宋体" w:hAnsi="宋体" w:cs="宋体"/>
          <w:kern w:val="0"/>
          <w:sz w:val="24"/>
        </w:rPr>
        <w:t>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480" w:lineRule="exact"/>
        <w:ind w:firstLine="482" w:firstLineChars="200"/>
        <w:rPr>
          <w:rFonts w:ascii="宋体" w:hAnsi="宋体" w:cs="宋体"/>
          <w:kern w:val="0"/>
          <w:sz w:val="24"/>
        </w:rPr>
      </w:pPr>
      <w:r>
        <w:rPr>
          <w:rFonts w:hint="eastAsia" w:ascii="宋体" w:hAnsi="宋体" w:cs="宋体"/>
          <w:b/>
          <w:bCs/>
          <w:kern w:val="0"/>
          <w:sz w:val="24"/>
        </w:rPr>
        <w:t>2.本次投标报价为一次性报价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sz w:val="24"/>
        </w:rPr>
        <w:t>价格</w:t>
      </w:r>
      <w:r>
        <w:rPr>
          <w:rFonts w:hint="eastAsia" w:ascii="宋体" w:hAnsi="宋体" w:cs="宋体"/>
          <w:kern w:val="0"/>
          <w:sz w:val="24"/>
        </w:rPr>
        <w:t>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3.采购量：大米约</w:t>
      </w:r>
      <w:r>
        <w:rPr>
          <w:rFonts w:hint="eastAsia" w:ascii="宋体" w:hAnsi="宋体" w:cs="宋体"/>
          <w:kern w:val="0"/>
          <w:sz w:val="24"/>
          <w:lang w:val="en-US" w:eastAsia="zh-CN"/>
        </w:rPr>
        <w:t>3</w:t>
      </w:r>
      <w:r>
        <w:rPr>
          <w:rFonts w:hint="eastAsia" w:ascii="宋体" w:hAnsi="宋体" w:cs="宋体"/>
          <w:kern w:val="0"/>
          <w:sz w:val="24"/>
        </w:rPr>
        <w:t>50吨。</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24小时内送至各校区食堂仓库。</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autoSpaceDE w:val="0"/>
        <w:spacing w:line="440" w:lineRule="exact"/>
        <w:ind w:firstLine="480" w:firstLineChars="200"/>
        <w:jc w:val="left"/>
        <w:rPr>
          <w:rFonts w:ascii="宋体" w:hAnsi="宋体"/>
          <w:kern w:val="0"/>
          <w:sz w:val="24"/>
        </w:rPr>
      </w:pPr>
      <w:r>
        <w:rPr>
          <w:rFonts w:hint="eastAsia" w:ascii="宋体" w:hAnsi="宋体"/>
          <w:kern w:val="0"/>
          <w:sz w:val="24"/>
        </w:rPr>
        <w:t>6.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7.本次中标的商家须缴纳规定的合同履约保证金5万元，合同期满，无任何违约、纠纷等，则无息退还。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0.结算周期（每月的26日至次月的25日为一个结算周期）开具正式发票，经过学校报销手续后，按照合同约定方式结算。</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r>
        <w:rPr>
          <w:rFonts w:hint="eastAsia"/>
          <w:b/>
          <w:sz w:val="24"/>
        </w:rPr>
        <w:t>11.按照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pStyle w:val="3"/>
        <w:spacing w:line="600" w:lineRule="exact"/>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一、供货说明</w:t>
      </w:r>
    </w:p>
    <w:p>
      <w:pPr>
        <w:spacing w:line="420" w:lineRule="exact"/>
        <w:ind w:firstLine="720" w:firstLineChars="300"/>
        <w:rPr>
          <w:rFonts w:ascii="宋体" w:hAnsi="宋体" w:cs="宋体"/>
          <w:sz w:val="24"/>
        </w:rPr>
      </w:pPr>
      <w:r>
        <w:rPr>
          <w:rFonts w:hint="eastAsia" w:ascii="宋体" w:hAnsi="宋体" w:cs="宋体"/>
          <w:sz w:val="24"/>
        </w:rPr>
        <w:t>自 202</w:t>
      </w:r>
      <w:r>
        <w:rPr>
          <w:rFonts w:hint="eastAsia" w:ascii="宋体" w:hAnsi="宋体" w:cs="宋体"/>
          <w:sz w:val="24"/>
          <w:lang w:val="en-US" w:eastAsia="zh-CN"/>
        </w:rPr>
        <w:t>3</w:t>
      </w:r>
      <w:r>
        <w:rPr>
          <w:rFonts w:hint="eastAsia" w:ascii="宋体" w:hAnsi="宋体" w:cs="宋体"/>
          <w:sz w:val="24"/>
        </w:rPr>
        <w:t xml:space="preserve">年 </w:t>
      </w:r>
      <w:r>
        <w:rPr>
          <w:rFonts w:hint="eastAsia" w:ascii="宋体" w:hAnsi="宋体" w:cs="宋体"/>
          <w:sz w:val="24"/>
          <w:lang w:val="en-US" w:eastAsia="zh-CN"/>
        </w:rPr>
        <w:t>2</w:t>
      </w:r>
      <w:r>
        <w:rPr>
          <w:rFonts w:hint="eastAsia" w:ascii="宋体" w:hAnsi="宋体" w:cs="宋体"/>
          <w:sz w:val="24"/>
        </w:rPr>
        <w:t xml:space="preserve">月 </w:t>
      </w:r>
      <w:r>
        <w:rPr>
          <w:rFonts w:hint="eastAsia" w:ascii="宋体" w:hAnsi="宋体" w:cs="宋体"/>
          <w:sz w:val="24"/>
          <w:lang w:val="en-US" w:eastAsia="zh-CN"/>
        </w:rPr>
        <w:t>26</w:t>
      </w:r>
      <w:r>
        <w:rPr>
          <w:rFonts w:hint="eastAsia" w:ascii="宋体" w:hAnsi="宋体" w:cs="宋体"/>
          <w:sz w:val="24"/>
        </w:rPr>
        <w:t xml:space="preserve"> 日起乙方以价格   元 /单位（大写： 每单位）向甲方供应202</w:t>
      </w:r>
      <w:r>
        <w:rPr>
          <w:rFonts w:hint="eastAsia" w:ascii="宋体" w:hAnsi="宋体" w:cs="宋体"/>
          <w:sz w:val="24"/>
          <w:lang w:val="en-US" w:eastAsia="zh-CN"/>
        </w:rPr>
        <w:t>2</w:t>
      </w:r>
      <w:r>
        <w:rPr>
          <w:rFonts w:hint="eastAsia" w:ascii="宋体" w:hAnsi="宋体" w:cs="宋体"/>
          <w:sz w:val="24"/>
        </w:rPr>
        <w:t xml:space="preserve">年粳稻（按GB1354-2018标准，符合晚粳米标准一等质量指标）加工而成的国家标准一等级大米 </w:t>
      </w:r>
      <w:r>
        <w:rPr>
          <w:rFonts w:hint="eastAsia" w:ascii="宋体" w:hAnsi="宋体" w:cs="宋体"/>
          <w:sz w:val="24"/>
          <w:lang w:val="en-US" w:eastAsia="zh-CN"/>
        </w:rPr>
        <w:t>3</w:t>
      </w:r>
      <w:r>
        <w:rPr>
          <w:rFonts w:hint="eastAsia" w:ascii="宋体" w:hAnsi="宋体" w:cs="宋体"/>
          <w:sz w:val="24"/>
        </w:rPr>
        <w:t>50吨（大写：</w:t>
      </w:r>
      <w:r>
        <w:rPr>
          <w:rFonts w:hint="eastAsia" w:ascii="宋体" w:hAnsi="宋体" w:cs="宋体"/>
          <w:sz w:val="24"/>
          <w:lang w:eastAsia="zh-CN"/>
        </w:rPr>
        <w:t>叁</w:t>
      </w:r>
      <w:r>
        <w:rPr>
          <w:rFonts w:hint="eastAsia" w:ascii="宋体" w:hAnsi="宋体" w:cs="宋体"/>
          <w:sz w:val="24"/>
        </w:rPr>
        <w:t>佰伍拾吨）。</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4.产品包装上必须提供品牌、等级、生产商、产地、SC标识，包装上必须有明确的生产日期、保质期。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w:t>
      </w:r>
      <w:r>
        <w:rPr>
          <w:rFonts w:hint="eastAsia" w:ascii="宋体" w:hAnsi="宋体"/>
          <w:color w:val="000000" w:themeColor="text1"/>
          <w:spacing w:val="4"/>
          <w:sz w:val="24"/>
          <w:lang w:eastAsia="zh-CN"/>
          <w14:textFill>
            <w14:solidFill>
              <w14:schemeClr w14:val="tx1"/>
            </w14:solidFill>
          </w14:textFill>
        </w:rPr>
        <w:t>承诺</w:t>
      </w:r>
      <w:r>
        <w:rPr>
          <w:rFonts w:hint="eastAsia" w:ascii="宋体" w:hAnsi="宋体"/>
          <w:color w:val="000000" w:themeColor="text1"/>
          <w:spacing w:val="4"/>
          <w:sz w:val="24"/>
          <w14:textFill>
            <w14:solidFill>
              <w14:schemeClr w14:val="tx1"/>
            </w14:solidFill>
          </w14:textFill>
        </w:rPr>
        <w:t>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w:t>
      </w:r>
      <w:bookmarkEnd w:id="17"/>
      <w:bookmarkStart w:id="18" w:name="_Toc73516695"/>
      <w:r>
        <w:rPr>
          <w:rFonts w:hint="eastAsia"/>
          <w:b w:val="0"/>
          <w:color w:val="000000" w:themeColor="text1"/>
          <w:sz w:val="21"/>
          <w:szCs w:val="21"/>
          <w14:textFill>
            <w14:solidFill>
              <w14:schemeClr w14:val="tx1"/>
            </w14:solidFill>
          </w14:textFill>
        </w:rPr>
        <w:t>投标</w:t>
      </w:r>
      <w:r>
        <w:rPr>
          <w:rFonts w:hint="eastAsia"/>
          <w:b w:val="0"/>
          <w:color w:val="000000" w:themeColor="text1"/>
          <w:sz w:val="21"/>
          <w:szCs w:val="21"/>
          <w:lang w:eastAsia="zh-CN"/>
          <w14:textFill>
            <w14:solidFill>
              <w14:schemeClr w14:val="tx1"/>
            </w14:solidFill>
          </w14:textFill>
        </w:rPr>
        <w:t>承诺</w:t>
      </w:r>
      <w:r>
        <w:rPr>
          <w:rFonts w:hint="eastAsia"/>
          <w:b w:val="0"/>
          <w:color w:val="000000" w:themeColor="text1"/>
          <w:sz w:val="21"/>
          <w:szCs w:val="21"/>
          <w14:textFill>
            <w14:solidFill>
              <w14:schemeClr w14:val="tx1"/>
            </w14:solidFill>
          </w14:textFill>
        </w:rPr>
        <w:t>函</w:t>
      </w:r>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rPr>
          <w:szCs w:val="21"/>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bookmarkEnd w:id="18"/>
      <w:bookmarkStart w:id="19" w:name="_Toc73516696"/>
      <w:r>
        <w:rPr>
          <w:rFonts w:hint="eastAsia" w:ascii="宋体" w:hAnsi="宋体" w:cs="宋体"/>
          <w:kern w:val="0"/>
          <w:szCs w:val="21"/>
        </w:rPr>
        <w:t>大米</w:t>
      </w:r>
      <w:r>
        <w:rPr>
          <w:rFonts w:ascii="宋体" w:hAnsi="宋体" w:cs="宋体"/>
          <w:kern w:val="0"/>
          <w:szCs w:val="21"/>
        </w:rPr>
        <w:t>报价单</w:t>
      </w:r>
    </w:p>
    <w:p>
      <w:pPr>
        <w:rPr>
          <w:szCs w:val="21"/>
        </w:rPr>
      </w:pPr>
    </w:p>
    <w:p>
      <w:pPr>
        <w:rPr>
          <w:szCs w:val="21"/>
        </w:rPr>
      </w:pPr>
    </w:p>
    <w:p>
      <w:pPr>
        <w:rPr>
          <w:szCs w:val="21"/>
        </w:rPr>
      </w:pPr>
    </w:p>
    <w:p>
      <w:pPr>
        <w:rPr>
          <w:szCs w:val="21"/>
        </w:rPr>
      </w:pPr>
    </w:p>
    <w:p>
      <w:pPr>
        <w:widowControl/>
        <w:spacing w:line="600" w:lineRule="atLeast"/>
        <w:jc w:val="center"/>
        <w:rPr>
          <w:rFonts w:ascii="宋体" w:hAnsi="宋体" w:cs="宋体"/>
          <w:kern w:val="0"/>
          <w:sz w:val="24"/>
        </w:rPr>
      </w:pPr>
      <w:r>
        <w:rPr>
          <w:rFonts w:hint="eastAsia" w:ascii="宋体" w:hAnsi="宋体" w:cs="宋体"/>
          <w:b/>
          <w:bCs/>
          <w:kern w:val="0"/>
          <w:sz w:val="36"/>
          <w:szCs w:val="36"/>
        </w:rPr>
        <w:t>大米</w:t>
      </w:r>
      <w:r>
        <w:rPr>
          <w:rFonts w:ascii="宋体" w:hAnsi="宋体" w:cs="宋体"/>
          <w:b/>
          <w:bCs/>
          <w:kern w:val="0"/>
          <w:sz w:val="36"/>
          <w:szCs w:val="36"/>
        </w:rPr>
        <w:t>报价单</w:t>
      </w:r>
    </w:p>
    <w:tbl>
      <w:tblPr>
        <w:tblStyle w:val="27"/>
        <w:tblW w:w="88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599"/>
        <w:gridCol w:w="1449"/>
        <w:gridCol w:w="915"/>
        <w:gridCol w:w="2314"/>
        <w:gridCol w:w="257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824" w:hRule="atLeast"/>
          <w:jc w:val="center"/>
        </w:trPr>
        <w:tc>
          <w:tcPr>
            <w:tcW w:w="1599" w:type="dxa"/>
            <w:vAlign w:val="center"/>
          </w:tcPr>
          <w:p>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color="auto" w:sz="4" w:space="0"/>
            </w:tcBorders>
            <w:vAlign w:val="center"/>
          </w:tcPr>
          <w:p>
            <w:pPr>
              <w:widowControl/>
              <w:jc w:val="center"/>
              <w:rPr>
                <w:rFonts w:ascii="宋体" w:hAnsi="宋体" w:cs="宋体"/>
                <w:b/>
                <w:kern w:val="0"/>
                <w:sz w:val="24"/>
              </w:rPr>
            </w:pPr>
            <w:r>
              <w:rPr>
                <w:rFonts w:hint="eastAsia" w:ascii="宋体" w:hAnsi="宋体" w:cs="宋体"/>
                <w:b/>
                <w:kern w:val="0"/>
                <w:sz w:val="24"/>
              </w:rPr>
              <w:t>单位</w:t>
            </w:r>
          </w:p>
        </w:tc>
        <w:tc>
          <w:tcPr>
            <w:tcW w:w="2314" w:type="dxa"/>
            <w:tcBorders>
              <w:left w:val="single" w:color="auto" w:sz="4" w:space="0"/>
            </w:tcBorders>
            <w:vAlign w:val="center"/>
          </w:tcPr>
          <w:p>
            <w:pPr>
              <w:widowControl/>
              <w:jc w:val="center"/>
              <w:rPr>
                <w:rFonts w:ascii="宋体" w:hAnsi="宋体" w:cs="宋体"/>
                <w:b/>
                <w:kern w:val="0"/>
                <w:sz w:val="24"/>
              </w:rPr>
            </w:pPr>
            <w:r>
              <w:rPr>
                <w:rFonts w:ascii="宋体" w:hAnsi="宋体" w:cs="宋体"/>
                <w:b/>
                <w:bCs/>
                <w:kern w:val="0"/>
                <w:sz w:val="24"/>
              </w:rPr>
              <w:t>生产厂家</w:t>
            </w:r>
          </w:p>
        </w:tc>
        <w:tc>
          <w:tcPr>
            <w:tcW w:w="2571" w:type="dxa"/>
            <w:tcMar>
              <w:top w:w="0" w:type="dxa"/>
              <w:left w:w="108" w:type="dxa"/>
              <w:bottom w:w="0" w:type="dxa"/>
              <w:right w:w="108" w:type="dxa"/>
            </w:tcMar>
            <w:vAlign w:val="center"/>
          </w:tcPr>
          <w:p>
            <w:pPr>
              <w:widowControl/>
              <w:jc w:val="center"/>
              <w:rPr>
                <w:rFonts w:ascii="宋体" w:hAnsi="宋体" w:cs="宋体"/>
                <w:kern w:val="0"/>
                <w:sz w:val="24"/>
              </w:rPr>
            </w:pPr>
            <w:r>
              <w:rPr>
                <w:rFonts w:hint="eastAsia" w:ascii="宋体" w:hAnsi="宋体" w:cs="宋体"/>
                <w:b/>
                <w:bCs/>
                <w:kern w:val="0"/>
                <w:sz w:val="24"/>
              </w:rPr>
              <w:t>报价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53" w:hRule="atLeast"/>
          <w:jc w:val="center"/>
        </w:trPr>
        <w:tc>
          <w:tcPr>
            <w:tcW w:w="1599" w:type="dxa"/>
            <w:vMerge w:val="restart"/>
            <w:vAlign w:val="center"/>
          </w:tcPr>
          <w:p>
            <w:pPr>
              <w:widowControl/>
              <w:jc w:val="center"/>
              <w:rPr>
                <w:rFonts w:ascii="宋体" w:hAnsi="宋体" w:cs="宋体"/>
                <w:kern w:val="0"/>
                <w:sz w:val="24"/>
              </w:rPr>
            </w:pPr>
            <w:r>
              <w:rPr>
                <w:rFonts w:ascii="宋体" w:hAnsi="宋体" w:cs="宋体"/>
                <w:kern w:val="0"/>
                <w:sz w:val="24"/>
              </w:rPr>
              <w:t>大米 </w:t>
            </w:r>
          </w:p>
        </w:tc>
        <w:tc>
          <w:tcPr>
            <w:tcW w:w="1449" w:type="dxa"/>
            <w:vMerge w:val="restart"/>
            <w:vAlign w:val="center"/>
          </w:tcPr>
          <w:p>
            <w:pPr>
              <w:widowControl/>
              <w:jc w:val="center"/>
              <w:rPr>
                <w:rFonts w:ascii="宋体" w:hAnsi="宋体" w:cs="宋体"/>
                <w:kern w:val="0"/>
                <w:sz w:val="24"/>
              </w:rPr>
            </w:pPr>
            <w:r>
              <w:rPr>
                <w:rFonts w:hint="eastAsia" w:ascii="宋体" w:hAnsi="宋体" w:cs="宋体"/>
                <w:kern w:val="0"/>
                <w:sz w:val="24"/>
              </w:rPr>
              <w:t>符合粳米国标</w:t>
            </w:r>
            <w:r>
              <w:rPr>
                <w:rFonts w:hint="eastAsia" w:ascii="宋体" w:hAnsi="宋体"/>
                <w:sz w:val="24"/>
              </w:rPr>
              <w:t>GB/T 1354-2018</w:t>
            </w:r>
            <w:r>
              <w:rPr>
                <w:rFonts w:hint="eastAsia" w:ascii="宋体" w:hAnsi="宋体" w:cs="宋体"/>
                <w:kern w:val="0"/>
                <w:sz w:val="24"/>
              </w:rPr>
              <w:t>一级以上标准</w:t>
            </w:r>
          </w:p>
        </w:tc>
        <w:tc>
          <w:tcPr>
            <w:tcW w:w="915" w:type="dxa"/>
            <w:vMerge w:val="restart"/>
            <w:tcBorders>
              <w:right w:val="single" w:color="auto" w:sz="4" w:space="0"/>
            </w:tcBorders>
            <w:vAlign w:val="center"/>
          </w:tcPr>
          <w:p>
            <w:pPr>
              <w:jc w:val="center"/>
            </w:pPr>
            <w:r>
              <w:rPr>
                <w:rFonts w:hint="eastAsia" w:ascii="宋体" w:hAnsi="宋体" w:cs="宋体"/>
                <w:kern w:val="0"/>
                <w:sz w:val="24"/>
              </w:rPr>
              <w:t>斤</w:t>
            </w:r>
          </w:p>
        </w:tc>
        <w:tc>
          <w:tcPr>
            <w:tcW w:w="2314" w:type="dxa"/>
            <w:vMerge w:val="restart"/>
            <w:tcBorders>
              <w:left w:val="single" w:color="auto" w:sz="4" w:space="0"/>
            </w:tcBorders>
            <w:vAlign w:val="center"/>
          </w:tcPr>
          <w:p>
            <w:pPr>
              <w:widowControl/>
              <w:jc w:val="center"/>
              <w:rPr>
                <w:rFonts w:ascii="宋体" w:hAnsi="宋体" w:cs="宋体"/>
                <w:kern w:val="0"/>
                <w:sz w:val="24"/>
              </w:rPr>
            </w:pPr>
          </w:p>
        </w:tc>
        <w:tc>
          <w:tcPr>
            <w:tcW w:w="2571" w:type="dxa"/>
            <w:tcBorders>
              <w:bottom w:val="single" w:color="auto" w:sz="4" w:space="0"/>
            </w:tcBorders>
            <w:tcMar>
              <w:top w:w="0" w:type="dxa"/>
              <w:left w:w="108" w:type="dxa"/>
              <w:bottom w:w="0" w:type="dxa"/>
              <w:right w:w="108" w:type="dxa"/>
            </w:tcMar>
            <w:vAlign w:val="center"/>
          </w:tcPr>
          <w:p>
            <w:pPr>
              <w:spacing w:line="360" w:lineRule="auto"/>
              <w:jc w:val="center"/>
              <w:rPr>
                <w:rFonts w:ascii="宋体" w:hAnsi="宋体" w:cs="宋体"/>
                <w:kern w:val="0"/>
                <w:sz w:val="24"/>
              </w:rPr>
            </w:pPr>
            <w:r>
              <w:rPr>
                <w:rFonts w:hint="eastAsia" w:eastAsia="楷体_GB2312"/>
                <w:sz w:val="24"/>
              </w:rPr>
              <w:t>小写： （元/斤）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1140" w:hRule="atLeast"/>
          <w:jc w:val="center"/>
        </w:trPr>
        <w:tc>
          <w:tcPr>
            <w:tcW w:w="1599" w:type="dxa"/>
            <w:vMerge w:val="continue"/>
            <w:vAlign w:val="center"/>
          </w:tcPr>
          <w:p>
            <w:pPr>
              <w:widowControl/>
              <w:jc w:val="center"/>
              <w:rPr>
                <w:rFonts w:ascii="宋体" w:hAnsi="宋体" w:cs="宋体"/>
                <w:kern w:val="0"/>
                <w:sz w:val="24"/>
              </w:rPr>
            </w:pPr>
          </w:p>
        </w:tc>
        <w:tc>
          <w:tcPr>
            <w:tcW w:w="1449" w:type="dxa"/>
            <w:vMerge w:val="continue"/>
            <w:vAlign w:val="center"/>
          </w:tcPr>
          <w:p>
            <w:pPr>
              <w:widowControl/>
              <w:jc w:val="center"/>
              <w:rPr>
                <w:rFonts w:ascii="宋体" w:hAnsi="宋体" w:cs="宋体"/>
                <w:kern w:val="0"/>
                <w:sz w:val="24"/>
              </w:rPr>
            </w:pPr>
          </w:p>
        </w:tc>
        <w:tc>
          <w:tcPr>
            <w:tcW w:w="915" w:type="dxa"/>
            <w:vMerge w:val="continue"/>
            <w:tcBorders>
              <w:right w:val="single" w:color="auto" w:sz="4" w:space="0"/>
            </w:tcBorders>
            <w:vAlign w:val="center"/>
          </w:tcPr>
          <w:p>
            <w:pPr>
              <w:jc w:val="center"/>
              <w:rPr>
                <w:rFonts w:ascii="宋体" w:hAnsi="宋体" w:cs="宋体"/>
                <w:kern w:val="0"/>
                <w:sz w:val="24"/>
              </w:rPr>
            </w:pPr>
          </w:p>
        </w:tc>
        <w:tc>
          <w:tcPr>
            <w:tcW w:w="2314" w:type="dxa"/>
            <w:vMerge w:val="continue"/>
            <w:tcBorders>
              <w:left w:val="single" w:color="auto" w:sz="4" w:space="0"/>
            </w:tcBorders>
            <w:vAlign w:val="center"/>
          </w:tcPr>
          <w:p>
            <w:pPr>
              <w:widowControl/>
              <w:jc w:val="center"/>
              <w:rPr>
                <w:rFonts w:ascii="宋体" w:hAnsi="宋体" w:cs="宋体"/>
                <w:kern w:val="0"/>
                <w:sz w:val="24"/>
              </w:rPr>
            </w:pPr>
          </w:p>
        </w:tc>
        <w:tc>
          <w:tcPr>
            <w:tcW w:w="2571" w:type="dxa"/>
            <w:tcBorders>
              <w:top w:val="single" w:color="auto" w:sz="4" w:space="0"/>
            </w:tcBorders>
            <w:tcMar>
              <w:top w:w="0" w:type="dxa"/>
              <w:left w:w="108" w:type="dxa"/>
              <w:bottom w:w="0" w:type="dxa"/>
              <w:right w:w="108" w:type="dxa"/>
            </w:tcMar>
            <w:vAlign w:val="center"/>
          </w:tcPr>
          <w:p>
            <w:pPr>
              <w:widowControl/>
              <w:jc w:val="center"/>
              <w:rPr>
                <w:rFonts w:ascii="宋体" w:hAnsi="宋体" w:cs="宋体"/>
                <w:kern w:val="0"/>
                <w:sz w:val="24"/>
              </w:rPr>
            </w:pPr>
            <w:r>
              <w:rPr>
                <w:rFonts w:hint="eastAsia" w:eastAsia="楷体_GB2312"/>
                <w:sz w:val="24"/>
              </w:rPr>
              <w:t>大写： （元/斤）</w:t>
            </w:r>
          </w:p>
        </w:tc>
      </w:tr>
    </w:tbl>
    <w:p>
      <w:pPr>
        <w:widowControl/>
        <w:jc w:val="center"/>
        <w:rPr>
          <w:rFonts w:ascii="宋体" w:hAnsi="宋体" w:cs="宋体"/>
          <w:kern w:val="0"/>
          <w:sz w:val="24"/>
        </w:rPr>
      </w:pPr>
      <w:r>
        <w:rPr>
          <w:rFonts w:ascii="宋体" w:hAnsi="宋体" w:cs="宋体"/>
          <w:kern w:val="0"/>
          <w:sz w:val="24"/>
        </w:rPr>
        <w:t xml:space="preserve">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300" w:lineRule="exact"/>
        <w:jc w:val="center"/>
        <w:rPr>
          <w:rFonts w:ascii="宋体" w:hAnsi="宋体" w:cs="宋体"/>
          <w:kern w:val="0"/>
          <w:sz w:val="24"/>
        </w:rPr>
      </w:pP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widowControl/>
        <w:spacing w:line="600" w:lineRule="atLeast"/>
        <w:jc w:val="left"/>
        <w:rPr>
          <w:rFonts w:ascii="宋体" w:hAnsi="宋体" w:cs="宋体"/>
          <w:b/>
          <w:bCs/>
          <w:kern w:val="0"/>
          <w:sz w:val="24"/>
        </w:rPr>
      </w:pPr>
    </w:p>
    <w:p>
      <w:pPr>
        <w:rPr>
          <w:rFonts w:ascii="宋体" w:hAnsi="宋体"/>
          <w:bCs/>
          <w:spacing w:val="4"/>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bookmarkEnd w:id="19"/>
    <w:p>
      <w:pPr>
        <w:pStyle w:val="4"/>
        <w:rPr>
          <w:b w:val="0"/>
          <w:color w:val="000000" w:themeColor="text1"/>
          <w:sz w:val="21"/>
          <w:szCs w:val="21"/>
          <w14:textFill>
            <w14:solidFill>
              <w14:schemeClr w14:val="tx1"/>
            </w14:solidFill>
          </w14:textFill>
        </w:rPr>
      </w:pPr>
      <w:bookmarkStart w:id="20" w:name="_Toc24632184"/>
      <w:bookmarkStart w:id="21" w:name="_Toc73516699"/>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2" w:name="_Toc24632185"/>
      <w:bookmarkStart w:id="23" w:name="_Toc73516700"/>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S3E1B0gCAACY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TQ8sn9gAAAAIAQAADwAAAAAAAAAB&#10;ACAAAAAiAAAAZHJzL2Rvd25yZXYueG1sUEsBAhQAFAAAAAgAh07iQPN5YPxJAgAAmAQAAA4AAAAA&#10;AAAAAQAgAAAAJwEAAGRycy9lMm9Eb2MueG1sUEsFBgAAAAAGAAYAWQEAAOI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rFonts w:hint="eastAsia"/>
          <w:b w:val="0"/>
          <w:color w:val="000000" w:themeColor="text1"/>
          <w:sz w:val="21"/>
          <w:szCs w:val="21"/>
          <w14:textFill>
            <w14:solidFill>
              <w14:schemeClr w14:val="tx1"/>
            </w14:solidFill>
          </w14:textFill>
        </w:rPr>
      </w:pPr>
    </w:p>
    <w:p>
      <w:pPr>
        <w:rPr>
          <w:rFonts w:hint="eastAsia"/>
        </w:rPr>
      </w:pP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1598429"/>
      <w:bookmarkStart w:id="26" w:name="_Toc53153324"/>
      <w:bookmarkStart w:id="27" w:name="_Toc73516702"/>
      <w:bookmarkStart w:id="28" w:name="_Toc52798262"/>
      <w:bookmarkStart w:id="29" w:name="_Toc50645819"/>
      <w:bookmarkStart w:id="30" w:name="_Toc50642505"/>
      <w:bookmarkStart w:id="31" w:name="_Toc49847306"/>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B7A"/>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2722E"/>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96F"/>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2F7E"/>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623"/>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BD"/>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0C"/>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65A6"/>
    <w:rsid w:val="00887D17"/>
    <w:rsid w:val="008901CF"/>
    <w:rsid w:val="00890258"/>
    <w:rsid w:val="00890ABC"/>
    <w:rsid w:val="00890D15"/>
    <w:rsid w:val="00891BFD"/>
    <w:rsid w:val="0089253C"/>
    <w:rsid w:val="008938CD"/>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5874"/>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C6A09"/>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5579"/>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1188"/>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3FF"/>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041"/>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2B6C3A"/>
    <w:rsid w:val="047A5D8D"/>
    <w:rsid w:val="05654526"/>
    <w:rsid w:val="05872D64"/>
    <w:rsid w:val="059F26AC"/>
    <w:rsid w:val="065823F0"/>
    <w:rsid w:val="07487BB5"/>
    <w:rsid w:val="081154F5"/>
    <w:rsid w:val="095D58FD"/>
    <w:rsid w:val="09910E44"/>
    <w:rsid w:val="0A026BD8"/>
    <w:rsid w:val="0A3B3B26"/>
    <w:rsid w:val="0C970633"/>
    <w:rsid w:val="0E5E351E"/>
    <w:rsid w:val="0EA16A38"/>
    <w:rsid w:val="0EF929D9"/>
    <w:rsid w:val="0F111E5D"/>
    <w:rsid w:val="0F202E96"/>
    <w:rsid w:val="10281B2E"/>
    <w:rsid w:val="10374903"/>
    <w:rsid w:val="106C6AA6"/>
    <w:rsid w:val="110D6392"/>
    <w:rsid w:val="111739F2"/>
    <w:rsid w:val="12344A6C"/>
    <w:rsid w:val="126E6EDF"/>
    <w:rsid w:val="12746007"/>
    <w:rsid w:val="13C76F9F"/>
    <w:rsid w:val="15AD47C5"/>
    <w:rsid w:val="16075D84"/>
    <w:rsid w:val="16A14DF1"/>
    <w:rsid w:val="17032E5F"/>
    <w:rsid w:val="184A236C"/>
    <w:rsid w:val="18504BBC"/>
    <w:rsid w:val="19961B95"/>
    <w:rsid w:val="1A7A033C"/>
    <w:rsid w:val="1B8A0A6B"/>
    <w:rsid w:val="1C2E2B07"/>
    <w:rsid w:val="1CB9293D"/>
    <w:rsid w:val="1D3A36BE"/>
    <w:rsid w:val="1D4F473B"/>
    <w:rsid w:val="1D720134"/>
    <w:rsid w:val="1F422FDA"/>
    <w:rsid w:val="1F664E2A"/>
    <w:rsid w:val="201D722B"/>
    <w:rsid w:val="205D1EAD"/>
    <w:rsid w:val="2170265F"/>
    <w:rsid w:val="21FE2B29"/>
    <w:rsid w:val="25DA7FA5"/>
    <w:rsid w:val="2600779A"/>
    <w:rsid w:val="26622063"/>
    <w:rsid w:val="2679315E"/>
    <w:rsid w:val="268E706A"/>
    <w:rsid w:val="26B54F4B"/>
    <w:rsid w:val="277E259E"/>
    <w:rsid w:val="28662B00"/>
    <w:rsid w:val="299F38FC"/>
    <w:rsid w:val="29AA0D95"/>
    <w:rsid w:val="29B54054"/>
    <w:rsid w:val="2C536C49"/>
    <w:rsid w:val="2D0D0136"/>
    <w:rsid w:val="2D380560"/>
    <w:rsid w:val="2EE261A8"/>
    <w:rsid w:val="2EE62F88"/>
    <w:rsid w:val="31086F3E"/>
    <w:rsid w:val="31451D82"/>
    <w:rsid w:val="31820BD9"/>
    <w:rsid w:val="324101E2"/>
    <w:rsid w:val="33071AB3"/>
    <w:rsid w:val="3465038D"/>
    <w:rsid w:val="3491629A"/>
    <w:rsid w:val="350B1C13"/>
    <w:rsid w:val="386C060A"/>
    <w:rsid w:val="39D272EA"/>
    <w:rsid w:val="3A7C5E4C"/>
    <w:rsid w:val="3AA02510"/>
    <w:rsid w:val="3B767F00"/>
    <w:rsid w:val="3BB04B88"/>
    <w:rsid w:val="3BCF12B5"/>
    <w:rsid w:val="3C7137CF"/>
    <w:rsid w:val="3D1717EC"/>
    <w:rsid w:val="3DDC49E6"/>
    <w:rsid w:val="3E495D4A"/>
    <w:rsid w:val="3EEA1BF7"/>
    <w:rsid w:val="3F0071D7"/>
    <w:rsid w:val="3F757550"/>
    <w:rsid w:val="439B3B95"/>
    <w:rsid w:val="43F15D28"/>
    <w:rsid w:val="44441A85"/>
    <w:rsid w:val="44814510"/>
    <w:rsid w:val="4517057D"/>
    <w:rsid w:val="45566478"/>
    <w:rsid w:val="465F2D3C"/>
    <w:rsid w:val="474140DE"/>
    <w:rsid w:val="48050777"/>
    <w:rsid w:val="486A27A6"/>
    <w:rsid w:val="492D6B95"/>
    <w:rsid w:val="49B93EEF"/>
    <w:rsid w:val="49C26560"/>
    <w:rsid w:val="4AD917DF"/>
    <w:rsid w:val="4C653F38"/>
    <w:rsid w:val="4D1064FF"/>
    <w:rsid w:val="4DE63590"/>
    <w:rsid w:val="50543314"/>
    <w:rsid w:val="51CE3B85"/>
    <w:rsid w:val="52283644"/>
    <w:rsid w:val="53BC3A20"/>
    <w:rsid w:val="54474CB9"/>
    <w:rsid w:val="54E7132C"/>
    <w:rsid w:val="55216B22"/>
    <w:rsid w:val="55DC4864"/>
    <w:rsid w:val="562D07D0"/>
    <w:rsid w:val="59B34481"/>
    <w:rsid w:val="59F7427D"/>
    <w:rsid w:val="5AC60F5D"/>
    <w:rsid w:val="5CBB218F"/>
    <w:rsid w:val="5D9422F4"/>
    <w:rsid w:val="5DF625FF"/>
    <w:rsid w:val="5ED90476"/>
    <w:rsid w:val="5F551185"/>
    <w:rsid w:val="5F721C62"/>
    <w:rsid w:val="60E45328"/>
    <w:rsid w:val="60ED083E"/>
    <w:rsid w:val="61A71DB7"/>
    <w:rsid w:val="627C20B0"/>
    <w:rsid w:val="637416D7"/>
    <w:rsid w:val="64BB1B06"/>
    <w:rsid w:val="65016EC6"/>
    <w:rsid w:val="650572A7"/>
    <w:rsid w:val="650E2800"/>
    <w:rsid w:val="68CB258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6331D4"/>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6BBCA8-26DE-4F9A-A65D-486C742EE2C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9471</Words>
  <Characters>10190</Characters>
  <Lines>90</Lines>
  <Paragraphs>25</Paragraphs>
  <TotalTime>1</TotalTime>
  <ScaleCrop>false</ScaleCrop>
  <LinksUpToDate>false</LinksUpToDate>
  <CharactersWithSpaces>11183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2022-07-23T08:10:00Z</cp:lastPrinted>
  <dcterms:modified xsi:type="dcterms:W3CDTF">2023-01-17T03:06:47Z</dcterms:modified>
  <dc:title>招  标  文  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