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南通大学食堂面粉</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001</w:t>
      </w:r>
    </w:p>
    <w:p>
      <w:pPr>
        <w:jc w:val="center"/>
        <w:rPr>
          <w:rFonts w:eastAsia="黑体"/>
          <w:color w:val="000000" w:themeColor="text1"/>
          <w:sz w:val="36"/>
          <w:szCs w:val="36"/>
          <w:u w:val="single"/>
          <w14:textFill>
            <w14:solidFill>
              <w14:schemeClr w14:val="tx1"/>
            </w14:solidFill>
          </w14:textFill>
        </w:rPr>
      </w:pPr>
      <w:bookmarkStart w:id="32" w:name="_GoBack"/>
      <w:bookmarkEnd w:id="32"/>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南通大学食堂面粉</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一、项目名称：南通大学食堂面粉采购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w:t>
      </w:r>
      <w:r>
        <w:rPr>
          <w:rFonts w:hint="eastAsia" w:ascii="宋体" w:hAnsi="宋体"/>
          <w:b/>
          <w:color w:val="000000"/>
          <w:sz w:val="24"/>
          <w:lang w:val="en-US" w:eastAsia="zh-CN"/>
        </w:rPr>
        <w:t>001</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28.5</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面粉（供应啬园校区、启秀校区、钟秀校区、启东校区），供应商</w:t>
      </w:r>
      <w:r>
        <w:rPr>
          <w:rFonts w:hint="eastAsia" w:ascii="宋体" w:hAnsi="宋体"/>
          <w:color w:val="000000"/>
          <w:sz w:val="24"/>
          <w:lang w:val="en-US" w:eastAsia="zh-CN"/>
        </w:rPr>
        <w:t>1</w:t>
      </w:r>
      <w:r>
        <w:rPr>
          <w:rFonts w:hint="eastAsia" w:ascii="宋体" w:hAnsi="宋体"/>
          <w:color w:val="000000"/>
          <w:sz w:val="24"/>
        </w:rPr>
        <w:t>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w:t>
      </w:r>
      <w:r>
        <w:rPr>
          <w:rFonts w:hint="eastAsia" w:ascii="宋体" w:hAnsi="宋体"/>
          <w:color w:val="000000"/>
          <w:sz w:val="24"/>
          <w:lang w:val="en-US" w:eastAsia="zh-CN"/>
        </w:rPr>
        <w:t>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w:t>
      </w:r>
      <w:r>
        <w:rPr>
          <w:rFonts w:hint="eastAsia" w:ascii="宋体" w:hAnsi="宋体"/>
          <w:b/>
          <w:color w:val="000000"/>
          <w:sz w:val="24"/>
          <w:lang w:eastAsia="zh-CN"/>
        </w:rPr>
        <w:t>一</w:t>
      </w:r>
      <w:r>
        <w:rPr>
          <w:rFonts w:hint="eastAsia" w:ascii="宋体" w:hAnsi="宋体"/>
          <w:b/>
          <w:color w:val="000000"/>
          <w:sz w:val="24"/>
        </w:rPr>
        <w:t>、开评标地点：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w:t>
      </w:r>
      <w:r>
        <w:rPr>
          <w:rFonts w:hint="eastAsia" w:ascii="宋体" w:hAnsi="宋体"/>
          <w:b/>
          <w:color w:val="000000"/>
          <w:sz w:val="24"/>
          <w:lang w:eastAsia="zh-CN"/>
        </w:rPr>
        <w:t>二</w:t>
      </w:r>
      <w:r>
        <w:rPr>
          <w:rFonts w:hint="eastAsia" w:ascii="宋体" w:hAnsi="宋体"/>
          <w:b/>
          <w:color w:val="000000"/>
          <w:sz w:val="24"/>
        </w:rPr>
        <w:t>、与本次谈判有关的事宜请按下列通讯方式联系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bookmarkStart w:id="1" w:name="_Toc73516680"/>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rFonts w:hint="eastAsia"/>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b w:val="0"/>
          <w:bCs w:val="0"/>
          <w:color w:val="000000" w:themeColor="text1"/>
          <w14:textFill>
            <w14:solidFill>
              <w14:schemeClr w14:val="tx1"/>
            </w14:solidFill>
          </w14:textFill>
        </w:rPr>
        <w:t>《食品经营许可证》或《仅销售预包装食品者备案信息采集表》复印件</w:t>
      </w:r>
      <w:r>
        <w:rPr>
          <w:rFonts w:hint="eastAsia" w:ascii="宋体" w:hAnsi="宋体"/>
          <w:b w:val="0"/>
          <w:bCs w:val="0"/>
          <w:color w:val="000000" w:themeColor="text1"/>
          <w:lang w:eastAsia="zh-CN"/>
          <w14:textFill>
            <w14:solidFill>
              <w14:schemeClr w14:val="tx1"/>
            </w14:solidFill>
          </w14:textFill>
        </w:rPr>
        <w:t>，生产企业提供</w:t>
      </w:r>
      <w:r>
        <w:rPr>
          <w:rFonts w:hint="eastAsia" w:ascii="宋体" w:hAnsi="宋体"/>
          <w:sz w:val="24"/>
        </w:rPr>
        <w:t>《食品生产许可证》复印件</w:t>
      </w:r>
      <w:r>
        <w:rPr>
          <w:rFonts w:hint="eastAsia" w:ascii="宋体" w:hAnsi="宋体"/>
          <w:b w:val="0"/>
          <w:bCs w:val="0"/>
          <w:color w:val="000000" w:themeColor="text1"/>
          <w14:textFill>
            <w14:solidFill>
              <w14:schemeClr w14:val="tx1"/>
            </w14:solidFill>
          </w14:textFill>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hint="eastAsia"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最多得6分。</w:t>
            </w:r>
            <w:r>
              <w:rPr>
                <w:rFonts w:hint="eastAsia" w:ascii="宋体" w:hAnsi="宋体" w:cs="宋体"/>
                <w:bCs/>
                <w:szCs w:val="21"/>
                <w:lang w:eastAsia="zh-CN"/>
              </w:rPr>
              <w:t>（</w:t>
            </w:r>
            <w:r>
              <w:rPr>
                <w:rFonts w:hint="eastAsia" w:ascii="宋体" w:hAnsi="宋体" w:cs="宋体"/>
                <w:bCs/>
                <w:szCs w:val="21"/>
                <w:lang w:val="en-US" w:eastAsia="zh-CN"/>
              </w:rPr>
              <w:t>6</w:t>
            </w:r>
            <w:r>
              <w:rPr>
                <w:rFonts w:hint="eastAsia" w:ascii="宋体" w:hAnsi="宋体" w:cs="宋体"/>
                <w:bCs/>
                <w:szCs w:val="21"/>
              </w:rPr>
              <w:t>分</w:t>
            </w:r>
            <w:r>
              <w:rPr>
                <w:rFonts w:hint="eastAsia" w:ascii="宋体" w:hAnsi="宋体" w:cs="宋体"/>
                <w:bCs/>
                <w:szCs w:val="21"/>
                <w:lang w:eastAsia="zh-CN"/>
              </w:rPr>
              <w:t>）</w:t>
            </w:r>
          </w:p>
          <w:p>
            <w:pPr>
              <w:ind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lang w:eastAsia="zh-CN"/>
              </w:rPr>
              <w:t>社会公益</w:t>
            </w:r>
            <w:r>
              <w:rPr>
                <w:rFonts w:hint="eastAsia" w:asciiTheme="minorEastAsia" w:hAnsiTheme="minorEastAsia" w:eastAsiaTheme="minorEastAsia" w:cstheme="minorEastAsia"/>
                <w:kern w:val="0"/>
                <w:szCs w:val="21"/>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lang w:val="en-US" w:eastAsia="zh-CN"/>
              </w:rPr>
              <w:t>4</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eastAsia="宋体" w:asciiTheme="minorEastAsia" w:hAnsiTheme="minorEastAsia" w:cstheme="minorEastAsia"/>
                <w:color w:val="FF0000"/>
                <w:kern w:val="0"/>
                <w:szCs w:val="21"/>
                <w:lang w:eastAsia="zh-CN"/>
              </w:rPr>
            </w:pPr>
            <w:r>
              <w:rPr>
                <w:rFonts w:hint="eastAsia" w:asciiTheme="minorEastAsia" w:hAnsiTheme="minorEastAsia" w:eastAsiaTheme="minorEastAsia" w:cstheme="minorEastAsia"/>
                <w:kern w:val="0"/>
                <w:szCs w:val="21"/>
                <w:lang w:val="en-US" w:eastAsia="zh-CN"/>
              </w:rPr>
              <w:t>2020年以来，</w:t>
            </w:r>
            <w:r>
              <w:rPr>
                <w:rFonts w:hint="eastAsia" w:asciiTheme="minorEastAsia" w:hAnsiTheme="minorEastAsia" w:eastAsiaTheme="minorEastAsia" w:cstheme="minorEastAsia"/>
                <w:kern w:val="0"/>
                <w:szCs w:val="21"/>
              </w:rPr>
              <w:t>投</w:t>
            </w:r>
            <w:r>
              <w:rPr>
                <w:rFonts w:hint="eastAsia" w:ascii="宋体" w:hAnsi="宋体" w:cs="宋体"/>
                <w:bCs/>
                <w:szCs w:val="21"/>
              </w:rPr>
              <w:t>标人</w:t>
            </w:r>
            <w:r>
              <w:rPr>
                <w:rFonts w:hint="eastAsia" w:ascii="宋体" w:hAnsi="宋体" w:cs="宋体"/>
                <w:bCs/>
                <w:szCs w:val="21"/>
                <w:lang w:eastAsia="zh-CN"/>
              </w:rPr>
              <w:t>积极参与社会捐赠、救助等社会公益活动的</w:t>
            </w:r>
            <w:r>
              <w:rPr>
                <w:rFonts w:hint="eastAsia" w:ascii="宋体" w:hAnsi="宋体" w:cs="宋体"/>
                <w:bCs/>
                <w:szCs w:val="21"/>
                <w:lang w:val="en-US" w:eastAsia="zh-CN"/>
              </w:rPr>
              <w:t>，</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hint="eastAsia" w:ascii="宋体" w:hAnsi="宋体" w:cs="宋体"/>
                <w:szCs w:val="21"/>
                <w:lang w:val="en-US" w:eastAsia="zh-CN"/>
              </w:rPr>
              <w:t>2</w:t>
            </w:r>
            <w:r>
              <w:rPr>
                <w:rFonts w:ascii="宋体" w:hAnsi="宋体" w:cs="宋体"/>
                <w:szCs w:val="21"/>
              </w:rPr>
              <w:t>-</w:t>
            </w:r>
            <w:r>
              <w:rPr>
                <w:rFonts w:hint="eastAsia" w:ascii="宋体" w:hAnsi="宋体" w:cs="宋体"/>
                <w:szCs w:val="21"/>
                <w:lang w:val="en-US" w:eastAsia="zh-CN"/>
              </w:rPr>
              <w:t>3</w:t>
            </w:r>
            <w:r>
              <w:rPr>
                <w:rFonts w:hint="eastAsia" w:ascii="宋体" w:hAnsi="宋体" w:cs="宋体"/>
                <w:szCs w:val="21"/>
              </w:rPr>
              <w:t>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宋体" w:hAnsi="宋体" w:eastAsia="宋体" w:cs="宋体"/>
                <w:szCs w:val="21"/>
                <w:lang w:val="en-US" w:eastAsia="zh-CN"/>
              </w:rPr>
            </w:pPr>
            <w:r>
              <w:rPr>
                <w:rFonts w:hint="eastAsia" w:ascii="宋体" w:hAnsi="宋体" w:cs="宋体"/>
                <w:szCs w:val="21"/>
              </w:rPr>
              <w:t>自20</w:t>
            </w:r>
            <w:r>
              <w:rPr>
                <w:rFonts w:hint="eastAsia" w:ascii="宋体" w:hAnsi="宋体" w:cs="宋体"/>
                <w:szCs w:val="21"/>
                <w:lang w:val="en-US" w:eastAsia="zh-CN"/>
              </w:rPr>
              <w:t>20</w:t>
            </w:r>
            <w:r>
              <w:rPr>
                <w:rFonts w:hint="eastAsia" w:ascii="宋体" w:hAnsi="宋体" w:cs="宋体"/>
                <w:szCs w:val="21"/>
              </w:rPr>
              <w:t>年1月1日</w:t>
            </w:r>
            <w:r>
              <w:rPr>
                <w:rFonts w:hint="eastAsia" w:ascii="宋体" w:hAnsi="宋体" w:cs="宋体"/>
                <w:szCs w:val="21"/>
                <w:lang w:eastAsia="zh-CN"/>
              </w:rPr>
              <w:t>以来</w:t>
            </w:r>
            <w:r>
              <w:rPr>
                <w:rFonts w:hint="eastAsia" w:ascii="宋体" w:hAnsi="宋体" w:cs="宋体"/>
                <w:szCs w:val="21"/>
              </w:rPr>
              <w:t>（以合同签订时间为准），完成类似服务项目业绩，</w:t>
            </w:r>
            <w:r>
              <w:rPr>
                <w:rFonts w:hint="eastAsia" w:ascii="宋体" w:hAnsi="宋体" w:cs="宋体"/>
                <w:szCs w:val="21"/>
                <w:lang w:eastAsia="zh-CN"/>
              </w:rPr>
              <w:t>同一单位一年供货量在</w:t>
            </w:r>
            <w:r>
              <w:rPr>
                <w:rFonts w:hint="eastAsia" w:ascii="宋体" w:hAnsi="宋体" w:cs="宋体"/>
                <w:szCs w:val="21"/>
                <w:lang w:val="en-US" w:eastAsia="zh-CN"/>
              </w:rPr>
              <w:t>10吨以下的得1分、在10吨（含）以上的得2分；同一单位不同年度不重复计分。</w:t>
            </w:r>
            <w:r>
              <w:rPr>
                <w:rFonts w:hint="eastAsia" w:asciiTheme="majorEastAsia" w:hAnsiTheme="majorEastAsia" w:eastAsiaTheme="majorEastAsia"/>
              </w:rPr>
              <w:t>提供合同复印件、</w:t>
            </w:r>
            <w:r>
              <w:rPr>
                <w:rFonts w:hint="eastAsia" w:asciiTheme="majorEastAsia" w:hAnsiTheme="majorEastAsia" w:eastAsiaTheme="majorEastAsia"/>
                <w:lang w:eastAsia="zh-CN"/>
              </w:rPr>
              <w:t>服务</w:t>
            </w:r>
            <w:r>
              <w:rPr>
                <w:rFonts w:hint="eastAsia" w:asciiTheme="majorEastAsia" w:hAnsiTheme="majorEastAsia" w:eastAsiaTheme="majorEastAsia"/>
              </w:rPr>
              <w:t>单位盖章的</w:t>
            </w:r>
            <w:r>
              <w:rPr>
                <w:rFonts w:hint="eastAsia" w:asciiTheme="majorEastAsia" w:hAnsiTheme="majorEastAsia" w:eastAsiaTheme="majorEastAsia"/>
                <w:lang w:eastAsia="zh-CN"/>
              </w:rPr>
              <w:t>意见反馈</w:t>
            </w:r>
            <w:r>
              <w:rPr>
                <w:rFonts w:hint="eastAsia" w:asciiTheme="majorEastAsia" w:hAnsiTheme="majorEastAsia" w:eastAsiaTheme="majorEastAsia"/>
              </w:rPr>
              <w:t>证明及合同对应</w:t>
            </w:r>
            <w:r>
              <w:rPr>
                <w:rFonts w:hint="eastAsia" w:asciiTheme="majorEastAsia" w:hAnsiTheme="majorEastAsia" w:eastAsiaTheme="majorEastAsia"/>
                <w:lang w:eastAsia="zh-CN"/>
              </w:rPr>
              <w:t>销售额</w:t>
            </w:r>
            <w:r>
              <w:rPr>
                <w:rFonts w:hint="eastAsia" w:asciiTheme="majorEastAsia" w:hAnsiTheme="majorEastAsia" w:eastAsiaTheme="majorEastAsia"/>
                <w:lang w:val="en-US" w:eastAsia="zh-CN"/>
              </w:rPr>
              <w:t>90%的</w:t>
            </w:r>
            <w:r>
              <w:rPr>
                <w:rFonts w:hint="eastAsia" w:asciiTheme="majorEastAsia" w:hAnsiTheme="majorEastAsia" w:eastAsiaTheme="majorEastAsia"/>
              </w:rPr>
              <w:t>发票复印件，缺一项不得分</w:t>
            </w:r>
            <w:r>
              <w:rPr>
                <w:rFonts w:hint="eastAsia" w:asciiTheme="majorEastAsia" w:hAnsiTheme="majorEastAsia" w:eastAsiaTheme="majorEastAsia"/>
                <w:lang w:eastAsia="zh-CN"/>
              </w:rPr>
              <w:t>。</w:t>
            </w:r>
            <w:r>
              <w:rPr>
                <w:rFonts w:hint="eastAsia" w:ascii="宋体" w:hAnsi="宋体" w:cs="宋体"/>
                <w:szCs w:val="21"/>
                <w:lang w:eastAsia="zh-CN"/>
              </w:rPr>
              <w:t>（</w:t>
            </w:r>
            <w:r>
              <w:rPr>
                <w:rFonts w:hint="eastAsia" w:ascii="宋体" w:hAnsi="宋体" w:cs="宋体"/>
                <w:szCs w:val="21"/>
                <w:lang w:val="en-US" w:eastAsia="zh-CN"/>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default" w:asciiTheme="minorEastAsia" w:hAnsiTheme="minorEastAsia" w:eastAsia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szCs w:val="21"/>
                <w:lang w:val="en-US" w:eastAsia="zh-CN"/>
              </w:rPr>
            </w:pPr>
            <w:r>
              <w:rPr>
                <w:rFonts w:hint="eastAsia" w:ascii="宋体" w:hAnsi="宋体" w:cs="宋体"/>
                <w:szCs w:val="21"/>
              </w:rPr>
              <w:t>1.管理方案和举措（含食材卫生安全保障机制、质量保障机制、配送业务操作流程等）根据投标人提供的材料横向对比，优秀</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val="en-US" w:eastAsia="zh-CN"/>
              </w:rPr>
              <w:t>8</w:t>
            </w:r>
            <w:r>
              <w:rPr>
                <w:rFonts w:hint="eastAsia" w:ascii="宋体" w:hAnsi="宋体" w:cs="宋体"/>
                <w:szCs w:val="21"/>
              </w:rPr>
              <w:t>分，良好</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分，一般1-</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8分）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4分）</w:t>
            </w:r>
          </w:p>
          <w:p>
            <w:pPr>
              <w:widowControl/>
              <w:spacing w:line="340" w:lineRule="exact"/>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hint="default" w:ascii="宋体" w:hAnsi="宋体" w:eastAsia="宋体" w:cs="宋体"/>
                <w:color w:val="auto"/>
                <w:kern w:val="0"/>
                <w:szCs w:val="21"/>
                <w:lang w:val="en-US" w:eastAsia="zh-CN"/>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w:t>
            </w:r>
            <w:r>
              <w:rPr>
                <w:rFonts w:hint="eastAsia" w:ascii="宋体" w:hAnsi="宋体" w:cs="宋体"/>
                <w:color w:val="000000"/>
                <w:kern w:val="0"/>
                <w:szCs w:val="21"/>
                <w:lang w:eastAsia="zh-CN"/>
              </w:rPr>
              <w:t>投标人</w:t>
            </w:r>
            <w:r>
              <w:rPr>
                <w:rFonts w:hint="eastAsia" w:ascii="宋体" w:hAnsi="宋体" w:cs="宋体"/>
                <w:color w:val="000000"/>
                <w:kern w:val="0"/>
                <w:szCs w:val="21"/>
              </w:rPr>
              <w:t>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cs="宋体"/>
                <w:szCs w:val="21"/>
                <w:lang w:val="en-US" w:eastAsia="zh-CN"/>
              </w:rPr>
            </w:pPr>
            <w:r>
              <w:rPr>
                <w:rFonts w:hint="eastAsia" w:ascii="宋体" w:hAnsi="宋体" w:cs="宋体"/>
                <w:szCs w:val="21"/>
                <w:lang w:eastAsia="zh-CN"/>
              </w:rPr>
              <w:t>投标人每提供一辆自有运输车得</w:t>
            </w:r>
            <w:r>
              <w:rPr>
                <w:rFonts w:hint="eastAsia" w:ascii="宋体" w:hAnsi="宋体" w:cs="宋体"/>
                <w:szCs w:val="21"/>
                <w:lang w:val="en-US" w:eastAsia="zh-CN"/>
              </w:rPr>
              <w:t>3分，提供一辆租</w:t>
            </w:r>
            <w:r>
              <w:rPr>
                <w:rFonts w:hint="eastAsia" w:ascii="宋体" w:hAnsi="宋体" w:cs="宋体"/>
                <w:szCs w:val="21"/>
              </w:rPr>
              <w:t>赁</w:t>
            </w:r>
            <w:r>
              <w:rPr>
                <w:rFonts w:hint="eastAsia" w:ascii="宋体" w:hAnsi="宋体" w:cs="宋体"/>
                <w:szCs w:val="21"/>
                <w:lang w:eastAsia="zh-CN"/>
              </w:rPr>
              <w:t>运输车得</w:t>
            </w:r>
            <w:r>
              <w:rPr>
                <w:rFonts w:hint="eastAsia" w:ascii="宋体" w:hAnsi="宋体" w:cs="宋体"/>
                <w:szCs w:val="21"/>
                <w:lang w:val="en-US" w:eastAsia="zh-CN"/>
              </w:rPr>
              <w:t>1分</w:t>
            </w:r>
            <w:r>
              <w:rPr>
                <w:rFonts w:hint="eastAsia" w:ascii="宋体" w:hAnsi="宋体" w:cs="宋体"/>
                <w:szCs w:val="21"/>
              </w:rPr>
              <w:t>，</w:t>
            </w:r>
            <w:r>
              <w:rPr>
                <w:rFonts w:hint="eastAsia" w:ascii="宋体" w:hAnsi="宋体" w:cs="宋体"/>
                <w:szCs w:val="21"/>
                <w:lang w:eastAsia="zh-CN"/>
              </w:rPr>
              <w:t>租赁车辆最多得</w:t>
            </w:r>
            <w:r>
              <w:rPr>
                <w:rFonts w:hint="eastAsia" w:ascii="宋体" w:hAnsi="宋体" w:cs="宋体"/>
                <w:szCs w:val="21"/>
                <w:lang w:val="en-US" w:eastAsia="zh-CN"/>
              </w:rPr>
              <w:t>2分。（5分）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lang w:val="en-US" w:eastAsia="zh-CN"/>
              </w:rPr>
              <w:t>注：</w:t>
            </w:r>
            <w:r>
              <w:rPr>
                <w:rFonts w:hint="eastAsia" w:ascii="宋体" w:hAnsi="宋体" w:cs="宋体"/>
                <w:szCs w:val="21"/>
              </w:rPr>
              <w:t>须提供相关证明材料（自有车辆所有人为投标单位</w:t>
            </w:r>
            <w:r>
              <w:rPr>
                <w:rFonts w:hint="eastAsia" w:ascii="宋体" w:hAnsi="宋体" w:cs="宋体"/>
                <w:szCs w:val="21"/>
                <w:lang w:eastAsia="zh-CN"/>
              </w:rPr>
              <w:t>，提供运输车辆</w:t>
            </w:r>
            <w:r>
              <w:rPr>
                <w:rFonts w:hint="eastAsia" w:ascii="宋体" w:hAnsi="宋体" w:cs="宋体"/>
                <w:szCs w:val="21"/>
                <w:lang w:val="en-US" w:eastAsia="zh-CN"/>
              </w:rPr>
              <w:t>行驶证</w:t>
            </w:r>
            <w:r>
              <w:rPr>
                <w:rFonts w:hint="eastAsia" w:ascii="宋体" w:hAnsi="宋体" w:cs="宋体"/>
                <w:szCs w:val="21"/>
                <w:lang w:eastAsia="zh-CN"/>
              </w:rPr>
              <w:t>复印件及车辆外观彩色照片。</w:t>
            </w:r>
            <w:r>
              <w:rPr>
                <w:rFonts w:hint="eastAsia" w:ascii="宋体" w:hAnsi="宋体" w:cs="宋体"/>
                <w:szCs w:val="21"/>
              </w:rPr>
              <w:t>租赁</w:t>
            </w:r>
            <w:r>
              <w:rPr>
                <w:rFonts w:hint="eastAsia" w:ascii="宋体" w:hAnsi="宋体" w:cs="宋体"/>
                <w:szCs w:val="21"/>
                <w:lang w:eastAsia="zh-CN"/>
              </w:rPr>
              <w:t>车辆须提供租赁企业道路经营许可证复印件、租赁车辆</w:t>
            </w:r>
            <w:r>
              <w:rPr>
                <w:rFonts w:hint="eastAsia" w:ascii="宋体" w:hAnsi="宋体" w:cs="宋体"/>
                <w:szCs w:val="21"/>
              </w:rPr>
              <w:t>合同复印件</w:t>
            </w:r>
            <w:r>
              <w:rPr>
                <w:rFonts w:hint="eastAsia" w:ascii="宋体" w:hAnsi="宋体" w:cs="宋体"/>
                <w:szCs w:val="21"/>
                <w:lang w:eastAsia="zh-CN"/>
              </w:rPr>
              <w:t>、</w:t>
            </w:r>
            <w:r>
              <w:rPr>
                <w:rFonts w:hint="eastAsia" w:ascii="宋体" w:hAnsi="宋体" w:cs="宋体"/>
                <w:szCs w:val="21"/>
              </w:rPr>
              <w:t>运输车辆的机动车行驶证复印件</w:t>
            </w:r>
            <w:r>
              <w:rPr>
                <w:rFonts w:hint="eastAsia" w:ascii="宋体" w:hAnsi="宋体" w:cs="宋体"/>
                <w:szCs w:val="21"/>
                <w:lang w:eastAsia="zh-CN"/>
              </w:rPr>
              <w:t>、车辆外观彩色照片</w:t>
            </w:r>
            <w:r>
              <w:rPr>
                <w:rFonts w:hint="eastAsia" w:ascii="宋体" w:hAnsi="宋体" w:cs="宋体"/>
                <w:szCs w:val="21"/>
              </w:rPr>
              <w:t>，</w:t>
            </w:r>
            <w:r>
              <w:rPr>
                <w:rFonts w:hint="eastAsia" w:ascii="宋体" w:hAnsi="宋体" w:cs="宋体"/>
                <w:szCs w:val="21"/>
                <w:lang w:eastAsia="zh-CN"/>
              </w:rPr>
              <w:t>所有复印件模糊不清的</w:t>
            </w:r>
            <w:r>
              <w:rPr>
                <w:rFonts w:hint="eastAsia" w:ascii="宋体" w:hAnsi="宋体" w:cs="宋体"/>
                <w:szCs w:val="21"/>
              </w:rPr>
              <w:t>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lang w:eastAsia="zh-CN"/>
              </w:rPr>
              <w:t>）</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szCs w:val="21"/>
                <w:lang w:val="en-US" w:eastAsia="zh-CN"/>
              </w:rPr>
            </w:pPr>
            <w:r>
              <w:rPr>
                <w:rFonts w:hint="eastAsia" w:ascii="宋体" w:hAnsi="宋体" w:cs="宋体"/>
                <w:b/>
                <w:bCs w:val="0"/>
                <w:szCs w:val="21"/>
                <w:lang w:val="en-US" w:eastAsia="zh-CN"/>
              </w:rPr>
              <w:t>提供原包装</w:t>
            </w:r>
            <w:r>
              <w:rPr>
                <w:rFonts w:hint="eastAsia" w:ascii="宋体" w:hAnsi="宋体" w:cs="宋体"/>
                <w:b/>
                <w:bCs w:val="0"/>
                <w:szCs w:val="21"/>
              </w:rPr>
              <w:t>样品</w:t>
            </w:r>
            <w:r>
              <w:rPr>
                <w:rFonts w:hint="eastAsia" w:ascii="宋体" w:hAnsi="宋体" w:cs="宋体"/>
                <w:b/>
                <w:bCs w:val="0"/>
                <w:szCs w:val="21"/>
                <w:lang w:val="en-US" w:eastAsia="zh-CN"/>
              </w:rPr>
              <w:t>1件（50斤/袋）</w:t>
            </w:r>
            <w:r>
              <w:rPr>
                <w:rFonts w:hint="eastAsia" w:ascii="宋体" w:hAnsi="宋体" w:cs="宋体"/>
                <w:bCs/>
                <w:szCs w:val="21"/>
                <w:lang w:eastAsia="zh-CN"/>
              </w:rPr>
              <w:t>，</w:t>
            </w:r>
            <w:r>
              <w:rPr>
                <w:rFonts w:hint="eastAsia" w:ascii="宋体" w:hAnsi="宋体" w:cs="宋体"/>
                <w:bCs/>
                <w:szCs w:val="21"/>
                <w:lang w:val="en-US" w:eastAsia="zh-CN"/>
              </w:rPr>
              <w:t>横向</w:t>
            </w:r>
            <w:r>
              <w:rPr>
                <w:rFonts w:hint="eastAsia" w:ascii="宋体" w:hAnsi="宋体" w:cs="宋体"/>
                <w:szCs w:val="21"/>
              </w:rPr>
              <w:t>对比优秀得</w:t>
            </w:r>
            <w:r>
              <w:rPr>
                <w:rFonts w:hint="eastAsia" w:ascii="宋体" w:hAnsi="宋体" w:cs="宋体"/>
                <w:szCs w:val="21"/>
                <w:lang w:val="en-US" w:eastAsia="zh-CN"/>
              </w:rPr>
              <w:t>4-5</w:t>
            </w:r>
            <w:r>
              <w:rPr>
                <w:rFonts w:hint="eastAsia" w:ascii="宋体" w:hAnsi="宋体" w:cs="宋体"/>
                <w:szCs w:val="21"/>
              </w:rPr>
              <w:t>分，良好得2</w:t>
            </w:r>
            <w:r>
              <w:rPr>
                <w:rFonts w:hint="eastAsia" w:ascii="宋体" w:hAnsi="宋体" w:cs="宋体"/>
                <w:szCs w:val="21"/>
                <w:lang w:val="en-US" w:eastAsia="zh-CN"/>
              </w:rPr>
              <w:t>-3</w:t>
            </w:r>
            <w:r>
              <w:rPr>
                <w:rFonts w:hint="eastAsia" w:ascii="宋体" w:hAnsi="宋体" w:cs="宋体"/>
                <w:szCs w:val="21"/>
              </w:rPr>
              <w:t>分，一般得1分，没有不得分</w:t>
            </w:r>
            <w:r>
              <w:rPr>
                <w:rFonts w:hint="eastAsia" w:ascii="宋体" w:hAnsi="宋体" w:cs="宋体"/>
                <w:szCs w:val="21"/>
                <w:lang w:eastAsia="zh-CN"/>
              </w:rPr>
              <w:t>。（</w:t>
            </w:r>
            <w:r>
              <w:rPr>
                <w:rFonts w:hint="eastAsia" w:ascii="宋体" w:hAnsi="宋体" w:cs="宋体"/>
                <w:szCs w:val="21"/>
                <w:lang w:val="en-US" w:eastAsia="zh-CN"/>
              </w:rPr>
              <w:t>5分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rFonts w:hint="eastAsia"/>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1.面粉必须符合国标GB</w:t>
      </w:r>
      <w:r>
        <w:rPr>
          <w:rFonts w:hint="eastAsia" w:ascii="宋体" w:hAnsi="宋体" w:cs="宋体"/>
          <w:kern w:val="0"/>
          <w:sz w:val="24"/>
          <w:lang w:val="en-US" w:eastAsia="zh-CN"/>
        </w:rPr>
        <w:t>/T</w:t>
      </w:r>
      <w:r>
        <w:rPr>
          <w:rFonts w:hint="eastAsia" w:ascii="宋体" w:hAnsi="宋体" w:cs="宋体"/>
          <w:kern w:val="0"/>
          <w:sz w:val="24"/>
        </w:rPr>
        <w:t xml:space="preserve"> 1355-</w:t>
      </w:r>
      <w:r>
        <w:rPr>
          <w:rFonts w:hint="eastAsia" w:ascii="宋体" w:hAnsi="宋体" w:cs="宋体"/>
          <w:kern w:val="0"/>
          <w:sz w:val="24"/>
          <w:lang w:val="en-US" w:eastAsia="zh-CN"/>
        </w:rPr>
        <w:t>2006，质量等级：特制一等，适用于包子、馒头、拉面等</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2.要求定量</w:t>
      </w:r>
      <w:r>
        <w:rPr>
          <w:rFonts w:hint="eastAsia" w:ascii="宋体" w:hAnsi="宋体" w:cs="宋体"/>
          <w:kern w:val="0"/>
          <w:sz w:val="24"/>
          <w:lang w:eastAsia="zh-CN"/>
        </w:rPr>
        <w:t>（</w:t>
      </w:r>
      <w:r>
        <w:rPr>
          <w:rFonts w:hint="eastAsia" w:ascii="宋体" w:hAnsi="宋体" w:cs="宋体"/>
          <w:kern w:val="0"/>
          <w:sz w:val="24"/>
          <w:lang w:val="en-US" w:eastAsia="zh-CN"/>
        </w:rPr>
        <w:t>50斤/袋</w:t>
      </w:r>
      <w:r>
        <w:rPr>
          <w:rFonts w:hint="eastAsia" w:ascii="宋体" w:hAnsi="宋体" w:cs="宋体"/>
          <w:kern w:val="0"/>
          <w:sz w:val="24"/>
          <w:lang w:eastAsia="zh-CN"/>
        </w:rPr>
        <w:t>），</w:t>
      </w:r>
      <w:r>
        <w:rPr>
          <w:rFonts w:hint="eastAsia" w:ascii="宋体" w:hAnsi="宋体" w:cs="宋体"/>
          <w:kern w:val="0"/>
          <w:sz w:val="24"/>
        </w:rPr>
        <w:t>包装上标明品名、厂名、</w:t>
      </w:r>
      <w:r>
        <w:rPr>
          <w:rFonts w:hint="eastAsia" w:ascii="宋体" w:hAnsi="宋体" w:cs="宋体"/>
          <w:kern w:val="0"/>
          <w:sz w:val="24"/>
          <w:lang w:eastAsia="zh-CN"/>
        </w:rPr>
        <w:t>质量等级、</w:t>
      </w:r>
      <w:r>
        <w:rPr>
          <w:rFonts w:hint="eastAsia" w:ascii="宋体" w:hAnsi="宋体" w:cs="宋体"/>
          <w:kern w:val="0"/>
          <w:sz w:val="24"/>
        </w:rPr>
        <w:t>重量、生产日期、保质期或保存期、“SC”食品生产许可证编号等执行标准</w:t>
      </w:r>
      <w:r>
        <w:rPr>
          <w:rFonts w:hint="eastAsia" w:ascii="宋体" w:hAnsi="宋体" w:cs="宋体"/>
          <w:kern w:val="0"/>
          <w:sz w:val="24"/>
          <w:lang w:eastAsia="zh-CN"/>
        </w:rPr>
        <w:t>，</w:t>
      </w:r>
      <w:r>
        <w:rPr>
          <w:rFonts w:asciiTheme="minorEastAsia" w:hAnsiTheme="minorEastAsia" w:eastAsiaTheme="minorEastAsia"/>
          <w:sz w:val="24"/>
          <w:szCs w:val="24"/>
        </w:rPr>
        <w:t>供货时的剩余保质期不少于三分之二</w:t>
      </w:r>
      <w:r>
        <w:rPr>
          <w:rFonts w:hint="eastAsia" w:ascii="宋体" w:hAnsi="宋体" w:cs="宋体"/>
          <w:kern w:val="0"/>
          <w:sz w:val="24"/>
        </w:rPr>
        <w:t xml:space="preserve">； </w:t>
      </w:r>
    </w:p>
    <w:p>
      <w:pPr>
        <w:spacing w:line="440" w:lineRule="exact"/>
        <w:ind w:firstLine="480" w:firstLineChars="200"/>
        <w:rPr>
          <w:rFonts w:ascii="宋体" w:hAnsi="宋体" w:cs="宋体"/>
          <w:kern w:val="0"/>
          <w:sz w:val="24"/>
        </w:rPr>
      </w:pPr>
      <w:r>
        <w:rPr>
          <w:rFonts w:hint="eastAsia" w:ascii="宋体" w:hAnsi="宋体" w:cs="宋体"/>
          <w:kern w:val="0"/>
          <w:sz w:val="24"/>
        </w:rPr>
        <w:t>3.新鲜、色泽呈现乳白或微黄色、手感细腻、均匀、有自然浓郁的麦香味、手抓后自然流出、松开手后不成团、制成的成品如馒头有麦香味、香甜入口不粘牙；</w:t>
      </w:r>
    </w:p>
    <w:p>
      <w:pPr>
        <w:ind w:firstLine="480" w:firstLineChars="200"/>
        <w:rPr>
          <w:rFonts w:ascii="宋体" w:hAnsi="宋体"/>
          <w:color w:val="000000"/>
          <w:sz w:val="24"/>
        </w:rPr>
      </w:pPr>
      <w:r>
        <w:rPr>
          <w:rFonts w:hint="eastAsia" w:ascii="宋体" w:hAnsi="宋体" w:cs="宋体"/>
          <w:kern w:val="0"/>
          <w:sz w:val="24"/>
        </w:rPr>
        <w:t>4.所供每批次产品必须出具产品合格证。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w:t>
      </w:r>
      <w:r>
        <w:rPr>
          <w:rFonts w:hint="eastAsia" w:ascii="宋体" w:hAnsi="宋体" w:cs="宋体"/>
          <w:kern w:val="0"/>
          <w:sz w:val="24"/>
          <w:lang w:eastAsia="zh-CN"/>
        </w:rPr>
        <w:t>原包装</w:t>
      </w:r>
      <w:r>
        <w:rPr>
          <w:rFonts w:hint="eastAsia" w:ascii="宋体" w:hAnsi="宋体" w:cs="宋体"/>
          <w:kern w:val="0"/>
          <w:sz w:val="24"/>
        </w:rPr>
        <w:t>样品，面粉</w:t>
      </w:r>
      <w:r>
        <w:rPr>
          <w:rFonts w:hint="eastAsia" w:ascii="宋体" w:hAnsi="宋体" w:cs="宋体"/>
          <w:kern w:val="0"/>
          <w:sz w:val="24"/>
          <w:lang w:val="en-US" w:eastAsia="zh-CN"/>
        </w:rPr>
        <w:t>1袋（50斤）</w:t>
      </w:r>
      <w:r>
        <w:rPr>
          <w:rFonts w:hint="eastAsia" w:ascii="宋体" w:hAnsi="宋体" w:cs="宋体"/>
          <w:kern w:val="0"/>
          <w:sz w:val="24"/>
        </w:rPr>
        <w:t>。中标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szCs w:val="24"/>
        </w:rPr>
      </w:pPr>
      <w:r>
        <w:rPr>
          <w:rFonts w:hint="eastAsia" w:ascii="宋体" w:hAnsi="宋体" w:cs="宋体"/>
          <w:b/>
          <w:bCs/>
          <w:kern w:val="0"/>
          <w:sz w:val="24"/>
        </w:rPr>
        <w:t>2.</w:t>
      </w:r>
      <w:r>
        <w:rPr>
          <w:rFonts w:hint="eastAsia" w:ascii="宋体" w:hAnsi="宋体" w:cs="宋体"/>
          <w:b/>
          <w:bCs/>
          <w:kern w:val="0"/>
          <w:sz w:val="24"/>
          <w:lang w:eastAsia="zh-CN"/>
        </w:rPr>
        <w:t>本次</w:t>
      </w:r>
      <w:r>
        <w:rPr>
          <w:rFonts w:hint="eastAsia" w:ascii="宋体" w:hAnsi="宋体" w:cs="宋体"/>
          <w:b/>
          <w:bCs/>
          <w:kern w:val="0"/>
          <w:sz w:val="24"/>
        </w:rPr>
        <w:t>投标报价</w:t>
      </w:r>
      <w:r>
        <w:rPr>
          <w:rFonts w:hint="eastAsia" w:ascii="宋体" w:hAnsi="宋体" w:cs="宋体"/>
          <w:b/>
          <w:bCs/>
          <w:kern w:val="0"/>
          <w:sz w:val="24"/>
          <w:lang w:eastAsia="zh-CN"/>
        </w:rPr>
        <w:t>为一次性报价</w:t>
      </w:r>
      <w:r>
        <w:rPr>
          <w:rFonts w:hint="eastAsia" w:ascii="宋体" w:hAnsi="宋体" w:cs="宋体"/>
          <w:kern w:val="0"/>
          <w:sz w:val="24"/>
          <w:lang w:eastAsia="zh-CN"/>
        </w:rPr>
        <w:t>，</w:t>
      </w:r>
      <w:r>
        <w:rPr>
          <w:rFonts w:hint="eastAsia" w:ascii="宋体" w:hAnsi="宋体" w:eastAsia="宋体" w:cs="宋体"/>
          <w:b/>
          <w:bCs/>
          <w:color w:val="auto"/>
          <w:sz w:val="24"/>
          <w:szCs w:val="24"/>
          <w:highlight w:val="none"/>
          <w:lang w:eastAsia="zh-CN"/>
        </w:rPr>
        <w:t>各投标人应充分考虑市场行情，原材料价格波动，谨慎报价。</w:t>
      </w:r>
      <w:r>
        <w:rPr>
          <w:rFonts w:hint="eastAsia" w:ascii="宋体" w:hAnsi="宋体" w:eastAsia="宋体" w:cs="宋体"/>
          <w:b w:val="0"/>
          <w:bCs w:val="0"/>
          <w:color w:val="auto"/>
          <w:sz w:val="24"/>
          <w:szCs w:val="24"/>
          <w:highlight w:val="none"/>
          <w:lang w:eastAsia="zh-CN"/>
        </w:rPr>
        <w:t>价格</w:t>
      </w:r>
      <w:r>
        <w:rPr>
          <w:rFonts w:hint="eastAsia" w:ascii="宋体" w:hAnsi="宋体" w:cs="宋体"/>
          <w:kern w:val="0"/>
          <w:sz w:val="24"/>
        </w:rPr>
        <w:t>包括成本、包装、运输、上下力、保险、利润、税金、政策性规费以及所有风险。</w:t>
      </w:r>
      <w:r>
        <w:rPr>
          <w:rFonts w:hint="eastAsia" w:ascii="宋体" w:hAnsi="宋体" w:cs="宋体"/>
          <w:sz w:val="24"/>
          <w:szCs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.采购量：面粉</w:t>
      </w:r>
      <w:r>
        <w:rPr>
          <w:rFonts w:hint="eastAsia" w:ascii="宋体" w:hAnsi="宋体" w:cs="宋体"/>
          <w:kern w:val="0"/>
          <w:sz w:val="24"/>
          <w:lang w:val="en-US" w:eastAsia="zh-CN"/>
        </w:rPr>
        <w:t>约62吨</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.送货时间：</w:t>
      </w:r>
      <w:r>
        <w:rPr>
          <w:rFonts w:hint="eastAsia" w:ascii="宋体" w:hAnsi="宋体" w:cs="宋体"/>
          <w:kern w:val="0"/>
          <w:sz w:val="24"/>
          <w:lang w:eastAsia="zh-CN"/>
        </w:rPr>
        <w:t>根据</w:t>
      </w:r>
      <w:r>
        <w:rPr>
          <w:rFonts w:hint="eastAsia" w:ascii="宋体" w:hAnsi="宋体" w:eastAsia="宋体" w:cs="宋体"/>
          <w:sz w:val="24"/>
          <w:szCs w:val="24"/>
          <w:lang w:eastAsia="zh-CN"/>
        </w:rPr>
        <w:t>南通</w:t>
      </w:r>
      <w:r>
        <w:rPr>
          <w:rFonts w:hint="eastAsia" w:ascii="宋体" w:hAnsi="宋体" w:eastAsia="宋体" w:cs="宋体"/>
          <w:sz w:val="24"/>
          <w:szCs w:val="24"/>
        </w:rPr>
        <w:t>大学</w:t>
      </w:r>
      <w:r>
        <w:rPr>
          <w:rFonts w:hint="eastAsia" w:ascii="宋体" w:hAnsi="宋体" w:eastAsia="宋体" w:cs="宋体"/>
          <w:sz w:val="24"/>
          <w:szCs w:val="24"/>
          <w:lang w:eastAsia="zh-CN"/>
        </w:rPr>
        <w:t>后勤保障部采供</w:t>
      </w:r>
      <w:r>
        <w:rPr>
          <w:rFonts w:hint="eastAsia" w:ascii="宋体" w:hAnsi="宋体" w:eastAsia="宋体" w:cs="宋体"/>
          <w:sz w:val="24"/>
          <w:szCs w:val="24"/>
        </w:rPr>
        <w:t>系统每天下午四点生成第二日的供货订单</w:t>
      </w:r>
      <w:r>
        <w:rPr>
          <w:rFonts w:hint="eastAsia" w:ascii="宋体" w:hAnsi="宋体" w:eastAsia="宋体" w:cs="宋体"/>
          <w:sz w:val="24"/>
          <w:szCs w:val="24"/>
          <w:lang w:eastAsia="zh-CN"/>
        </w:rPr>
        <w:t>，</w:t>
      </w:r>
      <w:r>
        <w:rPr>
          <w:rFonts w:hint="eastAsia" w:ascii="宋体" w:hAnsi="宋体" w:cs="宋体"/>
          <w:kern w:val="0"/>
          <w:sz w:val="24"/>
          <w:lang w:val="en-US" w:eastAsia="zh-CN"/>
        </w:rPr>
        <w:t>24</w:t>
      </w:r>
      <w:r>
        <w:rPr>
          <w:rFonts w:hint="eastAsia" w:ascii="宋体" w:hAnsi="宋体" w:cs="宋体"/>
          <w:kern w:val="0"/>
          <w:sz w:val="24"/>
        </w:rPr>
        <w:t>小时内送至各校区食堂</w:t>
      </w:r>
      <w:r>
        <w:rPr>
          <w:rFonts w:hint="eastAsia" w:ascii="宋体" w:hAnsi="宋体" w:cs="宋体"/>
          <w:kern w:val="0"/>
          <w:sz w:val="24"/>
          <w:lang w:eastAsia="zh-CN"/>
        </w:rPr>
        <w:t>仓库</w:t>
      </w:r>
      <w:r>
        <w:rPr>
          <w:rFonts w:hint="eastAsia" w:ascii="宋体" w:hAnsi="宋体" w:cs="宋体"/>
          <w:kern w:val="0"/>
          <w:sz w:val="24"/>
        </w:rPr>
        <w:t>。</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hint="default" w:ascii="宋体" w:hAnsi="宋体" w:eastAsia="宋体"/>
          <w:kern w:val="0"/>
          <w:sz w:val="24"/>
          <w:lang w:val="en-US" w:eastAsia="zh-CN"/>
        </w:rPr>
      </w:pPr>
      <w:r>
        <w:rPr>
          <w:rFonts w:hint="eastAsia" w:ascii="宋体" w:hAnsi="宋体"/>
          <w:kern w:val="0"/>
          <w:sz w:val="24"/>
          <w:lang w:val="en-US" w:eastAsia="zh-CN"/>
        </w:rPr>
        <w:t>6.</w:t>
      </w:r>
      <w:r>
        <w:rPr>
          <w:rFonts w:hint="eastAsia" w:ascii="宋体" w:hAnsi="宋体"/>
          <w:kern w:val="0"/>
          <w:sz w:val="24"/>
          <w:lang w:eastAsia="zh-CN"/>
        </w:rPr>
        <w:t>货物验收：学校将成立由后勤保障部相关科室、饮服中心、食堂管理人员、餐饮企业负责人等人员组成的验收小组，对每批次货物进行抽检，发现所送货物与样品不一致的立即退回，并且重新组织货源在</w:t>
      </w:r>
      <w:r>
        <w:rPr>
          <w:rFonts w:hint="eastAsia" w:ascii="宋体" w:hAnsi="宋体"/>
          <w:kern w:val="0"/>
          <w:sz w:val="24"/>
          <w:lang w:val="en-US" w:eastAsia="zh-CN"/>
        </w:rPr>
        <w:t>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.本次中标的商家</w:t>
      </w:r>
      <w:r>
        <w:rPr>
          <w:rFonts w:hint="eastAsia" w:ascii="宋体" w:hAnsi="宋体" w:cs="宋体"/>
          <w:kern w:val="0"/>
          <w:sz w:val="24"/>
          <w:lang w:eastAsia="zh-CN"/>
        </w:rPr>
        <w:t>须缴</w:t>
      </w:r>
      <w:r>
        <w:rPr>
          <w:rFonts w:hint="eastAsia" w:ascii="宋体" w:hAnsi="宋体" w:cs="宋体"/>
          <w:kern w:val="0"/>
          <w:sz w:val="24"/>
        </w:rPr>
        <w:t>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9</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b w:val="0"/>
          <w:bCs w:val="0"/>
          <w:kern w:val="0"/>
          <w:sz w:val="24"/>
        </w:rPr>
        <w:t>1</w:t>
      </w:r>
      <w:r>
        <w:rPr>
          <w:rFonts w:hint="eastAsia" w:ascii="宋体" w:hAnsi="宋体" w:cs="宋体"/>
          <w:b w:val="0"/>
          <w:bCs w:val="0"/>
          <w:kern w:val="0"/>
          <w:sz w:val="24"/>
          <w:lang w:val="en-US" w:eastAsia="zh-CN"/>
        </w:rPr>
        <w:t>0</w:t>
      </w:r>
      <w:r>
        <w:rPr>
          <w:rFonts w:hint="eastAsia" w:ascii="宋体" w:hAnsi="宋体" w:cs="宋体"/>
          <w:b w:val="0"/>
          <w:bCs w:val="0"/>
          <w:kern w:val="0"/>
          <w:sz w:val="24"/>
        </w:rPr>
        <w:t>.</w:t>
      </w:r>
      <w:r>
        <w:rPr>
          <w:rFonts w:hint="eastAsia" w:ascii="宋体" w:hAnsi="宋体" w:cs="宋体"/>
          <w:kern w:val="0"/>
          <w:sz w:val="24"/>
          <w:lang w:eastAsia="zh-CN"/>
        </w:rPr>
        <w:t>结算</w:t>
      </w:r>
      <w:r>
        <w:rPr>
          <w:rFonts w:hint="eastAsia" w:ascii="宋体" w:hAnsi="宋体" w:cs="宋体"/>
          <w:kern w:val="0"/>
          <w:sz w:val="24"/>
        </w:rPr>
        <w:t>周期（每月的26日至次月的25日为一个</w:t>
      </w:r>
      <w:r>
        <w:rPr>
          <w:rFonts w:hint="eastAsia" w:ascii="宋体" w:hAnsi="宋体" w:cs="宋体"/>
          <w:kern w:val="0"/>
          <w:sz w:val="24"/>
          <w:lang w:eastAsia="zh-CN"/>
        </w:rPr>
        <w:t>结算</w:t>
      </w:r>
      <w:r>
        <w:rPr>
          <w:rFonts w:hint="eastAsia" w:ascii="宋体" w:hAnsi="宋体" w:cs="宋体"/>
          <w:kern w:val="0"/>
          <w:sz w:val="24"/>
        </w:rPr>
        <w:t>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lang w:val="en-US" w:eastAsia="zh-CN"/>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keepNext/>
        <w:keepLines/>
        <w:pageBreakBefore w:val="0"/>
        <w:widowControl w:val="0"/>
        <w:kinsoku/>
        <w:wordWrap/>
        <w:overflowPunct/>
        <w:topLinePunct w:val="0"/>
        <w:autoSpaceDE/>
        <w:autoSpaceDN/>
        <w:bidi w:val="0"/>
        <w:adjustRightInd/>
        <w:snapToGrid/>
        <w:spacing w:line="600" w:lineRule="exact"/>
        <w:jc w:val="center"/>
        <w:textAlignment w:val="auto"/>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hint="eastAsia" w:ascii="宋体" w:hAnsi="宋体" w:eastAsia="宋体"/>
          <w:b/>
          <w:sz w:val="24"/>
          <w:lang w:eastAsia="zh-CN"/>
        </w:rPr>
      </w:pPr>
      <w:bookmarkStart w:id="16" w:name="_Toc73516693"/>
      <w:r>
        <w:rPr>
          <w:rFonts w:hint="eastAsia" w:ascii="宋体" w:hAnsi="宋体"/>
          <w:b/>
          <w:sz w:val="24"/>
        </w:rPr>
        <w:t>一、供货</w:t>
      </w:r>
      <w:r>
        <w:rPr>
          <w:rFonts w:hint="eastAsia" w:ascii="宋体" w:hAnsi="宋体"/>
          <w:b/>
          <w:sz w:val="24"/>
          <w:lang w:eastAsia="zh-CN"/>
        </w:rPr>
        <w:t>说明</w:t>
      </w:r>
    </w:p>
    <w:p>
      <w:pPr>
        <w:spacing w:line="42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 xml:space="preserve">自 </w:t>
      </w:r>
      <w:r>
        <w:rPr>
          <w:rFonts w:hint="eastAsia" w:ascii="宋体" w:hAnsi="宋体" w:cs="宋体"/>
          <w:color w:val="auto"/>
          <w:sz w:val="24"/>
          <w:szCs w:val="24"/>
          <w:lang w:val="en-US" w:eastAsia="zh-CN"/>
        </w:rPr>
        <w:t>2023</w:t>
      </w:r>
      <w:r>
        <w:rPr>
          <w:rFonts w:hint="eastAsia" w:ascii="宋体" w:hAnsi="宋体" w:cs="宋体"/>
          <w:color w:val="auto"/>
          <w:sz w:val="24"/>
          <w:szCs w:val="24"/>
        </w:rPr>
        <w:t>年</w:t>
      </w:r>
      <w:r>
        <w:rPr>
          <w:rFonts w:hint="eastAsia" w:ascii="宋体" w:hAnsi="宋体" w:cs="宋体"/>
          <w:color w:val="auto"/>
          <w:sz w:val="24"/>
          <w:szCs w:val="24"/>
          <w:lang w:val="en-US" w:eastAsia="zh-CN"/>
        </w:rPr>
        <w:t>2</w:t>
      </w:r>
      <w:r>
        <w:rPr>
          <w:rFonts w:hint="eastAsia" w:ascii="宋体" w:hAnsi="宋体" w:cs="宋体"/>
          <w:color w:val="auto"/>
          <w:sz w:val="24"/>
          <w:szCs w:val="24"/>
        </w:rPr>
        <w:t xml:space="preserve"> 月 </w:t>
      </w:r>
      <w:r>
        <w:rPr>
          <w:rFonts w:hint="eastAsia" w:ascii="宋体" w:hAnsi="宋体" w:cs="宋体"/>
          <w:color w:val="auto"/>
          <w:sz w:val="24"/>
          <w:szCs w:val="24"/>
          <w:lang w:val="en-US" w:eastAsia="zh-CN"/>
        </w:rPr>
        <w:t>26</w:t>
      </w:r>
      <w:r>
        <w:rPr>
          <w:rFonts w:hint="eastAsia" w:ascii="宋体" w:hAnsi="宋体" w:cs="宋体"/>
          <w:color w:val="auto"/>
          <w:sz w:val="24"/>
          <w:szCs w:val="24"/>
        </w:rPr>
        <w:t xml:space="preserve"> 日起乙方以价格   元 /</w:t>
      </w:r>
      <w:r>
        <w:rPr>
          <w:rFonts w:hint="eastAsia" w:ascii="宋体" w:hAnsi="宋体" w:cs="宋体"/>
          <w:color w:val="auto"/>
          <w:sz w:val="24"/>
          <w:szCs w:val="24"/>
          <w:lang w:eastAsia="zh-CN"/>
        </w:rPr>
        <w:t>单位</w:t>
      </w:r>
      <w:r>
        <w:rPr>
          <w:rFonts w:hint="eastAsia" w:ascii="宋体" w:hAnsi="宋体" w:cs="宋体"/>
          <w:color w:val="auto"/>
          <w:sz w:val="24"/>
          <w:szCs w:val="24"/>
        </w:rPr>
        <w:t>（大写： 每</w:t>
      </w:r>
      <w:r>
        <w:rPr>
          <w:rFonts w:hint="eastAsia" w:ascii="宋体" w:hAnsi="宋体" w:cs="宋体"/>
          <w:color w:val="auto"/>
          <w:sz w:val="24"/>
          <w:szCs w:val="24"/>
          <w:lang w:eastAsia="zh-CN"/>
        </w:rPr>
        <w:t>单位</w:t>
      </w:r>
      <w:r>
        <w:rPr>
          <w:rFonts w:hint="eastAsia" w:ascii="宋体" w:hAnsi="宋体" w:cs="宋体"/>
          <w:color w:val="auto"/>
          <w:sz w:val="24"/>
          <w:szCs w:val="24"/>
        </w:rPr>
        <w:t>）向甲方供应</w:t>
      </w:r>
      <w:r>
        <w:rPr>
          <w:rFonts w:hint="eastAsia" w:ascii="宋体" w:hAnsi="宋体" w:cs="宋体"/>
          <w:color w:val="auto"/>
          <w:kern w:val="0"/>
          <w:sz w:val="24"/>
        </w:rPr>
        <w:t>符合国标GB</w:t>
      </w:r>
      <w:r>
        <w:rPr>
          <w:rFonts w:hint="eastAsia" w:ascii="宋体" w:hAnsi="宋体" w:cs="宋体"/>
          <w:color w:val="auto"/>
          <w:kern w:val="0"/>
          <w:sz w:val="24"/>
          <w:lang w:val="en-US" w:eastAsia="zh-CN"/>
        </w:rPr>
        <w:t>/T</w:t>
      </w:r>
      <w:r>
        <w:rPr>
          <w:rFonts w:hint="eastAsia" w:ascii="宋体" w:hAnsi="宋体" w:cs="宋体"/>
          <w:color w:val="auto"/>
          <w:kern w:val="0"/>
          <w:sz w:val="24"/>
        </w:rPr>
        <w:t xml:space="preserve"> 1355-</w:t>
      </w:r>
      <w:r>
        <w:rPr>
          <w:rFonts w:hint="eastAsia" w:ascii="宋体" w:hAnsi="宋体" w:cs="宋体"/>
          <w:color w:val="auto"/>
          <w:kern w:val="0"/>
          <w:sz w:val="24"/>
          <w:lang w:val="en-US" w:eastAsia="zh-CN"/>
        </w:rPr>
        <w:t>2006特制一等面粉</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62吨</w:t>
      </w:r>
      <w:r>
        <w:rPr>
          <w:rFonts w:hint="eastAsia" w:ascii="宋体" w:hAnsi="宋体" w:cs="宋体"/>
          <w:color w:val="auto"/>
          <w:sz w:val="24"/>
          <w:szCs w:val="24"/>
        </w:rPr>
        <w:t>（大写：</w:t>
      </w:r>
      <w:r>
        <w:rPr>
          <w:rFonts w:hint="eastAsia" w:ascii="宋体" w:hAnsi="宋体" w:cs="宋体"/>
          <w:color w:val="auto"/>
          <w:sz w:val="24"/>
          <w:szCs w:val="24"/>
          <w:lang w:val="en-US" w:eastAsia="zh-CN"/>
        </w:rPr>
        <w:t>陆拾贰吨</w:t>
      </w:r>
      <w:r>
        <w:rPr>
          <w:rFonts w:hint="eastAsia" w:ascii="宋体" w:hAnsi="宋体" w:cs="宋体"/>
          <w:color w:val="auto"/>
          <w:sz w:val="24"/>
          <w:szCs w:val="24"/>
        </w:rPr>
        <w:t>）。</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w:t>
      </w:r>
      <w:r>
        <w:rPr>
          <w:rFonts w:hint="eastAsia" w:ascii="宋体" w:hAnsi="宋体"/>
          <w:sz w:val="24"/>
          <w:lang w:eastAsia="zh-CN"/>
        </w:rPr>
        <w:t>等级、</w:t>
      </w:r>
      <w:r>
        <w:rPr>
          <w:rFonts w:hint="eastAsia" w:ascii="宋体" w:hAnsi="宋体"/>
          <w:sz w:val="24"/>
        </w:rPr>
        <w:t>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bookmarkEnd w:id="17"/>
    </w:p>
    <w:p>
      <w:pPr>
        <w:jc w:val="center"/>
        <w:rPr>
          <w:rFonts w:ascii="宋体"/>
          <w:color w:val="000000" w:themeColor="text1"/>
          <w14:textFill>
            <w14:solidFill>
              <w14:schemeClr w14:val="tx1"/>
            </w14:solidFill>
          </w14:textFill>
        </w:rPr>
      </w:pPr>
      <w:bookmarkStart w:id="18" w:name="_Toc73516695"/>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rPr>
          <w:rFonts w:ascii="宋体" w:hAnsi="宋体" w:cs="宋体"/>
          <w:kern w:val="0"/>
          <w:szCs w:val="21"/>
        </w:rPr>
      </w:pPr>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bookmarkStart w:id="19" w:name="_Toc73516696"/>
      <w:r>
        <w:rPr>
          <w:rFonts w:hint="eastAsia" w:ascii="宋体" w:hAnsi="宋体" w:cs="宋体"/>
          <w:kern w:val="0"/>
          <w:szCs w:val="21"/>
        </w:rPr>
        <w:t>面粉</w:t>
      </w:r>
      <w:r>
        <w:rPr>
          <w:rFonts w:ascii="宋体" w:hAnsi="宋体" w:cs="宋体"/>
          <w:kern w:val="0"/>
          <w:szCs w:val="21"/>
        </w:rPr>
        <w:t>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面粉</w:t>
      </w:r>
      <w:r>
        <w:rPr>
          <w:rFonts w:ascii="宋体" w:hAnsi="宋体" w:cs="宋体"/>
          <w:b/>
          <w:bCs/>
          <w:kern w:val="0"/>
          <w:sz w:val="36"/>
          <w:szCs w:val="36"/>
        </w:rPr>
        <w:t>报价单</w:t>
      </w:r>
    </w:p>
    <w:tbl>
      <w:tblPr>
        <w:tblStyle w:val="27"/>
        <w:tblW w:w="88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194"/>
        <w:gridCol w:w="269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87"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194" w:type="dxa"/>
            <w:tcBorders>
              <w:lef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生产厂家</w:t>
            </w:r>
          </w:p>
        </w:tc>
        <w:tc>
          <w:tcPr>
            <w:tcW w:w="2698"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23" w:hRule="atLeast"/>
          <w:jc w:val="center"/>
        </w:trPr>
        <w:tc>
          <w:tcPr>
            <w:tcW w:w="1599" w:type="dxa"/>
            <w:vMerge w:val="restart"/>
            <w:tcMar>
              <w:top w:w="0" w:type="dxa"/>
              <w:left w:w="108" w:type="dxa"/>
              <w:bottom w:w="0" w:type="dxa"/>
              <w:right w:w="108" w:type="dxa"/>
            </w:tcMar>
            <w:vAlign w:val="center"/>
          </w:tcPr>
          <w:p>
            <w:pPr>
              <w:widowControl/>
              <w:jc w:val="center"/>
              <w:rPr>
                <w:rFonts w:hint="eastAsia" w:ascii="宋体" w:hAnsi="宋体" w:eastAsia="宋体" w:cs="宋体"/>
                <w:kern w:val="0"/>
                <w:sz w:val="24"/>
                <w:lang w:eastAsia="zh-CN"/>
              </w:rPr>
            </w:pPr>
            <w:r>
              <w:rPr>
                <w:rFonts w:ascii="宋体" w:hAnsi="宋体" w:cs="宋体"/>
                <w:kern w:val="0"/>
                <w:sz w:val="24"/>
              </w:rPr>
              <w:t>面粉</w:t>
            </w:r>
            <w:r>
              <w:rPr>
                <w:rFonts w:hint="eastAsia" w:ascii="宋体" w:hAnsi="宋体" w:cs="宋体"/>
                <w:kern w:val="0"/>
                <w:sz w:val="24"/>
                <w:lang w:eastAsia="zh-CN"/>
              </w:rPr>
              <w:t>（适用于包子、馒头、拉面等）</w:t>
            </w:r>
          </w:p>
          <w:p>
            <w:pPr>
              <w:widowControl/>
              <w:jc w:val="center"/>
              <w:rPr>
                <w:rFonts w:ascii="宋体" w:hAnsi="宋体" w:cs="宋体"/>
                <w:kern w:val="0"/>
                <w:sz w:val="24"/>
              </w:rPr>
            </w:pPr>
          </w:p>
        </w:tc>
        <w:tc>
          <w:tcPr>
            <w:tcW w:w="1449" w:type="dxa"/>
            <w:vMerge w:val="restart"/>
            <w:tcMar>
              <w:top w:w="0" w:type="dxa"/>
              <w:left w:w="108" w:type="dxa"/>
              <w:bottom w:w="0" w:type="dxa"/>
              <w:right w:w="108" w:type="dxa"/>
            </w:tcMar>
            <w:vAlign w:val="center"/>
          </w:tcPr>
          <w:p>
            <w:pPr>
              <w:widowControl/>
              <w:ind w:firstLine="420" w:firstLineChars="200"/>
              <w:jc w:val="left"/>
              <w:rPr>
                <w:rFonts w:hint="eastAsia" w:ascii="宋体" w:hAnsi="宋体" w:eastAsia="宋体" w:cs="宋体"/>
                <w:kern w:val="0"/>
                <w:szCs w:val="21"/>
                <w:lang w:eastAsia="zh-CN"/>
              </w:rPr>
            </w:pPr>
            <w:r>
              <w:rPr>
                <w:rFonts w:hint="eastAsia" w:ascii="宋体" w:hAnsi="宋体" w:cs="宋体"/>
                <w:kern w:val="0"/>
                <w:szCs w:val="21"/>
              </w:rPr>
              <w:t>必须符合国标</w:t>
            </w:r>
            <w:r>
              <w:rPr>
                <w:rFonts w:hint="eastAsia" w:ascii="宋体" w:hAnsi="宋体" w:cs="宋体"/>
                <w:kern w:val="0"/>
                <w:sz w:val="24"/>
              </w:rPr>
              <w:t>GB</w:t>
            </w:r>
            <w:r>
              <w:rPr>
                <w:rFonts w:hint="eastAsia" w:ascii="宋体" w:hAnsi="宋体" w:cs="宋体"/>
                <w:kern w:val="0"/>
                <w:sz w:val="24"/>
                <w:lang w:val="en-US" w:eastAsia="zh-CN"/>
              </w:rPr>
              <w:t>/T</w:t>
            </w:r>
            <w:r>
              <w:rPr>
                <w:rFonts w:hint="eastAsia" w:ascii="宋体" w:hAnsi="宋体" w:cs="宋体"/>
                <w:kern w:val="0"/>
                <w:sz w:val="24"/>
              </w:rPr>
              <w:t xml:space="preserve"> 1355-</w:t>
            </w:r>
            <w:r>
              <w:rPr>
                <w:rFonts w:hint="eastAsia" w:ascii="宋体" w:hAnsi="宋体" w:cs="宋体"/>
                <w:kern w:val="0"/>
                <w:sz w:val="24"/>
                <w:lang w:val="en-US" w:eastAsia="zh-CN"/>
              </w:rPr>
              <w:t>2006</w:t>
            </w:r>
            <w:r>
              <w:rPr>
                <w:rFonts w:ascii="宋体" w:hAnsi="宋体" w:cs="宋体"/>
                <w:kern w:val="0"/>
                <w:szCs w:val="21"/>
              </w:rPr>
              <w:t>特</w:t>
            </w:r>
            <w:r>
              <w:rPr>
                <w:rFonts w:hint="eastAsia" w:ascii="宋体" w:hAnsi="宋体" w:cs="宋体"/>
                <w:kern w:val="0"/>
                <w:szCs w:val="21"/>
                <w:lang w:eastAsia="zh-CN"/>
              </w:rPr>
              <w:t>制一等</w:t>
            </w:r>
          </w:p>
        </w:tc>
        <w:tc>
          <w:tcPr>
            <w:tcW w:w="915" w:type="dxa"/>
            <w:vMerge w:val="restart"/>
            <w:tcBorders>
              <w:right w:val="single" w:color="auto" w:sz="4" w:space="0"/>
            </w:tcBorders>
            <w:tcMar>
              <w:top w:w="0" w:type="dxa"/>
              <w:left w:w="108" w:type="dxa"/>
              <w:bottom w:w="0" w:type="dxa"/>
              <w:right w:w="108" w:type="dxa"/>
            </w:tcMar>
            <w:vAlign w:val="center"/>
          </w:tcPr>
          <w:p>
            <w:pPr>
              <w:jc w:val="center"/>
            </w:pPr>
            <w:r>
              <w:rPr>
                <w:rFonts w:hint="eastAsia" w:ascii="宋体" w:hAnsi="宋体" w:cs="宋体"/>
                <w:kern w:val="0"/>
                <w:sz w:val="24"/>
              </w:rPr>
              <w:t>斤</w:t>
            </w:r>
          </w:p>
        </w:tc>
        <w:tc>
          <w:tcPr>
            <w:tcW w:w="2194" w:type="dxa"/>
            <w:vMerge w:val="restart"/>
            <w:tcBorders>
              <w:left w:val="single" w:color="auto" w:sz="4" w:space="0"/>
            </w:tcBorders>
            <w:vAlign w:val="center"/>
          </w:tcPr>
          <w:p>
            <w:pPr>
              <w:widowControl/>
              <w:jc w:val="center"/>
              <w:rPr>
                <w:rFonts w:ascii="宋体" w:hAnsi="宋体" w:cs="宋体"/>
                <w:kern w:val="0"/>
                <w:sz w:val="24"/>
              </w:rPr>
            </w:pPr>
          </w:p>
        </w:tc>
        <w:tc>
          <w:tcPr>
            <w:tcW w:w="2698"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ascii="Times New Roman" w:hAnsi="Times New Roman" w:eastAsia="楷体_GB2312"/>
                <w:sz w:val="24"/>
                <w:szCs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52" w:hRule="atLeast"/>
          <w:jc w:val="center"/>
        </w:trPr>
        <w:tc>
          <w:tcPr>
            <w:tcW w:w="1599" w:type="dxa"/>
            <w:vMerge w:val="continue"/>
            <w:tcMar>
              <w:top w:w="0" w:type="dxa"/>
              <w:left w:w="108" w:type="dxa"/>
              <w:bottom w:w="0" w:type="dxa"/>
              <w:right w:w="108" w:type="dxa"/>
            </w:tcMar>
            <w:vAlign w:val="center"/>
          </w:tcPr>
          <w:p>
            <w:pPr>
              <w:widowControl/>
              <w:jc w:val="center"/>
              <w:rPr>
                <w:rFonts w:ascii="宋体" w:hAnsi="宋体" w:cs="宋体"/>
                <w:kern w:val="0"/>
                <w:sz w:val="24"/>
              </w:rPr>
            </w:pPr>
          </w:p>
        </w:tc>
        <w:tc>
          <w:tcPr>
            <w:tcW w:w="1449" w:type="dxa"/>
            <w:vMerge w:val="continue"/>
            <w:tcMar>
              <w:top w:w="0" w:type="dxa"/>
              <w:left w:w="108" w:type="dxa"/>
              <w:bottom w:w="0" w:type="dxa"/>
              <w:right w:w="108" w:type="dxa"/>
            </w:tcMar>
            <w:vAlign w:val="center"/>
          </w:tcPr>
          <w:p>
            <w:pPr>
              <w:widowControl/>
              <w:ind w:firstLine="420" w:firstLineChars="200"/>
              <w:jc w:val="left"/>
              <w:rPr>
                <w:rFonts w:hint="eastAsia" w:ascii="宋体" w:hAnsi="宋体" w:cs="宋体"/>
                <w:kern w:val="0"/>
                <w:szCs w:val="21"/>
              </w:rPr>
            </w:pPr>
          </w:p>
        </w:tc>
        <w:tc>
          <w:tcPr>
            <w:tcW w:w="915" w:type="dxa"/>
            <w:vMerge w:val="continue"/>
            <w:tcBorders>
              <w:right w:val="single" w:color="auto" w:sz="4" w:space="0"/>
            </w:tcBorders>
            <w:tcMar>
              <w:top w:w="0" w:type="dxa"/>
              <w:left w:w="108" w:type="dxa"/>
              <w:bottom w:w="0" w:type="dxa"/>
              <w:right w:w="108" w:type="dxa"/>
            </w:tcMar>
            <w:vAlign w:val="center"/>
          </w:tcPr>
          <w:p>
            <w:pPr>
              <w:jc w:val="center"/>
              <w:rPr>
                <w:rFonts w:hint="eastAsia" w:ascii="宋体" w:hAnsi="宋体" w:cs="宋体"/>
                <w:kern w:val="0"/>
                <w:sz w:val="24"/>
              </w:rPr>
            </w:pPr>
          </w:p>
        </w:tc>
        <w:tc>
          <w:tcPr>
            <w:tcW w:w="2194" w:type="dxa"/>
            <w:vMerge w:val="continue"/>
            <w:tcBorders>
              <w:left w:val="single" w:color="auto" w:sz="4" w:space="0"/>
            </w:tcBorders>
            <w:vAlign w:val="center"/>
          </w:tcPr>
          <w:p>
            <w:pPr>
              <w:widowControl/>
              <w:jc w:val="center"/>
              <w:rPr>
                <w:rFonts w:ascii="宋体" w:hAnsi="宋体" w:cs="宋体"/>
                <w:kern w:val="0"/>
                <w:sz w:val="24"/>
              </w:rPr>
            </w:pPr>
          </w:p>
        </w:tc>
        <w:tc>
          <w:tcPr>
            <w:tcW w:w="2698" w:type="dxa"/>
            <w:tcBorders>
              <w:top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ascii="Times New Roman" w:hAnsi="Times New Roman" w:eastAsia="楷体_GB2312"/>
                <w:sz w:val="24"/>
                <w:szCs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cs="宋体"/>
          <w:kern w:val="0"/>
          <w:szCs w:val="21"/>
        </w:rPr>
      </w:pPr>
    </w:p>
    <w:p>
      <w:pPr>
        <w:rPr>
          <w:rFonts w:ascii="宋体" w:hAnsi="宋体" w:cs="宋体"/>
          <w:kern w:val="0"/>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rFonts w:hint="eastAsia"/>
          <w:color w:val="000000" w:themeColor="text1"/>
          <w:szCs w:val="21"/>
          <w14:textFill>
            <w14:solidFill>
              <w14:schemeClr w14:val="tx1"/>
            </w14:solidFill>
          </w14:textFill>
        </w:rPr>
      </w:pPr>
    </w:p>
    <w:p>
      <w:pPr>
        <w:rPr>
          <w:rFonts w:hint="eastAsia"/>
          <w:color w:val="000000" w:themeColor="text1"/>
          <w:szCs w:val="21"/>
          <w14:textFill>
            <w14:solidFill>
              <w14:schemeClr w14:val="tx1"/>
            </w14:solidFill>
          </w14:textFill>
        </w:rPr>
      </w:pPr>
    </w:p>
    <w:bookmarkEnd w:id="19"/>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2" w:name="_Toc24632185"/>
      <w:bookmarkStart w:id="23" w:name="_Toc73516700"/>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0645819"/>
      <w:bookmarkStart w:id="26" w:name="_Toc50642505"/>
      <w:bookmarkStart w:id="27" w:name="_Toc49847306"/>
      <w:bookmarkStart w:id="28" w:name="_Toc51598429"/>
      <w:bookmarkStart w:id="29" w:name="_Toc53153324"/>
      <w:bookmarkStart w:id="30" w:name="_Toc52798262"/>
      <w:bookmarkStart w:id="31" w:name="_Toc73516702"/>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B944B0"/>
    <w:rsid w:val="05654526"/>
    <w:rsid w:val="05872D64"/>
    <w:rsid w:val="059F26AC"/>
    <w:rsid w:val="065823F0"/>
    <w:rsid w:val="07487BB5"/>
    <w:rsid w:val="081154F5"/>
    <w:rsid w:val="09367986"/>
    <w:rsid w:val="095D58FD"/>
    <w:rsid w:val="09910E44"/>
    <w:rsid w:val="0A026BD8"/>
    <w:rsid w:val="0A3B3B26"/>
    <w:rsid w:val="0EA16A38"/>
    <w:rsid w:val="0EF929D9"/>
    <w:rsid w:val="0F111E5D"/>
    <w:rsid w:val="0F202E96"/>
    <w:rsid w:val="10374903"/>
    <w:rsid w:val="110D6392"/>
    <w:rsid w:val="12344A6C"/>
    <w:rsid w:val="126E6EDF"/>
    <w:rsid w:val="12746007"/>
    <w:rsid w:val="15AD47C5"/>
    <w:rsid w:val="16075D84"/>
    <w:rsid w:val="162D114F"/>
    <w:rsid w:val="17032E5F"/>
    <w:rsid w:val="184A236C"/>
    <w:rsid w:val="19E31D01"/>
    <w:rsid w:val="1A7A033C"/>
    <w:rsid w:val="1B8A0A6B"/>
    <w:rsid w:val="1C2E2B07"/>
    <w:rsid w:val="1C950773"/>
    <w:rsid w:val="1CB9293D"/>
    <w:rsid w:val="1D4F473B"/>
    <w:rsid w:val="1D720134"/>
    <w:rsid w:val="201D722B"/>
    <w:rsid w:val="205D1EAD"/>
    <w:rsid w:val="24657F64"/>
    <w:rsid w:val="2600779A"/>
    <w:rsid w:val="268E706A"/>
    <w:rsid w:val="26D94384"/>
    <w:rsid w:val="277E259E"/>
    <w:rsid w:val="299F38FC"/>
    <w:rsid w:val="29AA0D95"/>
    <w:rsid w:val="29B54054"/>
    <w:rsid w:val="2ACD2A82"/>
    <w:rsid w:val="2C496946"/>
    <w:rsid w:val="2C536C49"/>
    <w:rsid w:val="2D0D0136"/>
    <w:rsid w:val="2EE261A8"/>
    <w:rsid w:val="2EE62F88"/>
    <w:rsid w:val="30DD3FE2"/>
    <w:rsid w:val="30F77FD8"/>
    <w:rsid w:val="31086F3E"/>
    <w:rsid w:val="31451D82"/>
    <w:rsid w:val="31820BD9"/>
    <w:rsid w:val="324101E2"/>
    <w:rsid w:val="32A970B0"/>
    <w:rsid w:val="334054CA"/>
    <w:rsid w:val="3465038D"/>
    <w:rsid w:val="3491629A"/>
    <w:rsid w:val="3550460E"/>
    <w:rsid w:val="374A0FA7"/>
    <w:rsid w:val="39C61FE4"/>
    <w:rsid w:val="39D272EA"/>
    <w:rsid w:val="3A7C5E4C"/>
    <w:rsid w:val="3AA02510"/>
    <w:rsid w:val="3B767F00"/>
    <w:rsid w:val="3B7F4199"/>
    <w:rsid w:val="3BB04B88"/>
    <w:rsid w:val="3BCF12B5"/>
    <w:rsid w:val="3C7137CF"/>
    <w:rsid w:val="3D0C1655"/>
    <w:rsid w:val="3DDC49E6"/>
    <w:rsid w:val="3E495D4A"/>
    <w:rsid w:val="3EEA1BF7"/>
    <w:rsid w:val="3F0071D7"/>
    <w:rsid w:val="3F757550"/>
    <w:rsid w:val="41E5691C"/>
    <w:rsid w:val="439B3B95"/>
    <w:rsid w:val="44814510"/>
    <w:rsid w:val="4517057D"/>
    <w:rsid w:val="45566478"/>
    <w:rsid w:val="465F2D3C"/>
    <w:rsid w:val="474140DE"/>
    <w:rsid w:val="48050777"/>
    <w:rsid w:val="486A27A6"/>
    <w:rsid w:val="492D6B95"/>
    <w:rsid w:val="49C26560"/>
    <w:rsid w:val="4AD45C7D"/>
    <w:rsid w:val="4AD917DF"/>
    <w:rsid w:val="4C653F38"/>
    <w:rsid w:val="4D1064FF"/>
    <w:rsid w:val="4DB61EA7"/>
    <w:rsid w:val="4DE63590"/>
    <w:rsid w:val="4FF61A20"/>
    <w:rsid w:val="50543314"/>
    <w:rsid w:val="51CE3B85"/>
    <w:rsid w:val="52283644"/>
    <w:rsid w:val="534C3D5B"/>
    <w:rsid w:val="53BC3A20"/>
    <w:rsid w:val="54474CB9"/>
    <w:rsid w:val="54E7132C"/>
    <w:rsid w:val="55DC4864"/>
    <w:rsid w:val="562D07D0"/>
    <w:rsid w:val="59B34481"/>
    <w:rsid w:val="59F7427D"/>
    <w:rsid w:val="5A3B797F"/>
    <w:rsid w:val="5AC60F5D"/>
    <w:rsid w:val="5CBB218F"/>
    <w:rsid w:val="5D9422F4"/>
    <w:rsid w:val="5DF625FF"/>
    <w:rsid w:val="5ED90476"/>
    <w:rsid w:val="5F551185"/>
    <w:rsid w:val="5F721C62"/>
    <w:rsid w:val="60E45328"/>
    <w:rsid w:val="61A71DB7"/>
    <w:rsid w:val="627C20B0"/>
    <w:rsid w:val="637416D7"/>
    <w:rsid w:val="64BB1B06"/>
    <w:rsid w:val="65016EC6"/>
    <w:rsid w:val="650572A7"/>
    <w:rsid w:val="68CB2588"/>
    <w:rsid w:val="6A2633D5"/>
    <w:rsid w:val="6AEF170B"/>
    <w:rsid w:val="6B5D5FBF"/>
    <w:rsid w:val="6BAA593E"/>
    <w:rsid w:val="6BCE26DE"/>
    <w:rsid w:val="6C1F0250"/>
    <w:rsid w:val="6DCD2BAB"/>
    <w:rsid w:val="6EFC2CD5"/>
    <w:rsid w:val="70BB4DC3"/>
    <w:rsid w:val="71DF0DB2"/>
    <w:rsid w:val="751B1357"/>
    <w:rsid w:val="772464D5"/>
    <w:rsid w:val="780739E3"/>
    <w:rsid w:val="78413079"/>
    <w:rsid w:val="78D52782"/>
    <w:rsid w:val="79247842"/>
    <w:rsid w:val="79C330C9"/>
    <w:rsid w:val="7A205E5C"/>
    <w:rsid w:val="7AA25287"/>
    <w:rsid w:val="7AFB15C5"/>
    <w:rsid w:val="7B2B308F"/>
    <w:rsid w:val="7B822619"/>
    <w:rsid w:val="7CDF37CB"/>
    <w:rsid w:val="7CF96AFE"/>
    <w:rsid w:val="7D901570"/>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8D089-A884-4CCE-980E-B084CEB927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9385</Words>
  <Characters>10004</Characters>
  <Lines>159</Lines>
  <Paragraphs>45</Paragraphs>
  <TotalTime>5</TotalTime>
  <ScaleCrop>false</ScaleCrop>
  <LinksUpToDate>false</LinksUpToDate>
  <CharactersWithSpaces>10997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2022-07-23T08:16:00Z</cp:lastPrinted>
  <dcterms:modified xsi:type="dcterms:W3CDTF">2023-01-17T03:05:43Z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